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2A" w:rsidRPr="007D25A5" w:rsidRDefault="00FC542A">
      <w:pPr>
        <w:rPr>
          <w:rFonts w:ascii="Arial" w:hAnsi="Arial" w:cs="Arial"/>
          <w:sz w:val="24"/>
          <w:szCs w:val="24"/>
        </w:rPr>
      </w:pPr>
      <w:r w:rsidRPr="007D25A5">
        <w:rPr>
          <w:rFonts w:ascii="Arial" w:hAnsi="Arial" w:cs="Arial"/>
          <w:b/>
          <w:noProof/>
          <w:sz w:val="24"/>
          <w:szCs w:val="24"/>
          <w:lang w:eastAsia="en-GB"/>
        </w:rPr>
        <w:drawing>
          <wp:anchor distT="0" distB="0" distL="114300" distR="114300" simplePos="0" relativeHeight="251659264" behindDoc="1" locked="0" layoutInCell="1" allowOverlap="1" wp14:anchorId="26FC321A" wp14:editId="341AD38E">
            <wp:simplePos x="0" y="0"/>
            <wp:positionH relativeFrom="column">
              <wp:posOffset>-63795</wp:posOffset>
            </wp:positionH>
            <wp:positionV relativeFrom="paragraph">
              <wp:posOffset>-208799</wp:posOffset>
            </wp:positionV>
            <wp:extent cx="1565275" cy="74217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65275" cy="742170"/>
                    </a:xfrm>
                    <a:prstGeom prst="rect">
                      <a:avLst/>
                    </a:prstGeom>
                    <a:noFill/>
                  </pic:spPr>
                </pic:pic>
              </a:graphicData>
            </a:graphic>
          </wp:anchor>
        </w:drawing>
      </w:r>
    </w:p>
    <w:p w:rsidR="00AA39C3" w:rsidRPr="007D25A5" w:rsidRDefault="00FC542A" w:rsidP="00FC542A">
      <w:pPr>
        <w:tabs>
          <w:tab w:val="left" w:pos="3168"/>
        </w:tabs>
        <w:rPr>
          <w:rFonts w:ascii="Arial" w:hAnsi="Arial" w:cs="Arial"/>
          <w:sz w:val="24"/>
          <w:szCs w:val="24"/>
        </w:rPr>
      </w:pPr>
      <w:r w:rsidRPr="007D25A5">
        <w:rPr>
          <w:rFonts w:ascii="Arial" w:hAnsi="Arial" w:cs="Arial"/>
          <w:sz w:val="24"/>
          <w:szCs w:val="24"/>
        </w:rPr>
        <w:tab/>
      </w:r>
    </w:p>
    <w:p w:rsidR="00FC542A" w:rsidRPr="007D25A5" w:rsidRDefault="00FC542A" w:rsidP="00AA39C3">
      <w:pPr>
        <w:tabs>
          <w:tab w:val="left" w:pos="3168"/>
        </w:tabs>
        <w:ind w:left="-142"/>
        <w:rPr>
          <w:rFonts w:ascii="Arial" w:hAnsi="Arial" w:cs="Arial"/>
          <w:i/>
          <w:sz w:val="24"/>
          <w:szCs w:val="24"/>
        </w:rPr>
      </w:pPr>
      <w:r w:rsidRPr="007D25A5">
        <w:rPr>
          <w:rFonts w:ascii="Arial" w:hAnsi="Arial" w:cs="Arial"/>
          <w:i/>
          <w:sz w:val="24"/>
          <w:szCs w:val="24"/>
        </w:rPr>
        <w:t>Connecting evidence, policy and practice</w:t>
      </w:r>
    </w:p>
    <w:p w:rsidR="00AA39C3" w:rsidRPr="007D25A5" w:rsidRDefault="00AA39C3" w:rsidP="00AA39C3">
      <w:pPr>
        <w:tabs>
          <w:tab w:val="left" w:pos="3168"/>
        </w:tabs>
        <w:ind w:left="-142"/>
        <w:jc w:val="center"/>
        <w:rPr>
          <w:rFonts w:ascii="Arial" w:hAnsi="Arial" w:cs="Arial"/>
          <w:sz w:val="24"/>
          <w:szCs w:val="24"/>
        </w:rPr>
      </w:pPr>
      <w:r w:rsidRPr="007D25A5">
        <w:rPr>
          <w:rFonts w:ascii="Arial" w:hAnsi="Arial" w:cs="Arial"/>
          <w:b/>
          <w:sz w:val="24"/>
          <w:szCs w:val="24"/>
        </w:rPr>
        <w:t>Project summaries</w:t>
      </w:r>
    </w:p>
    <w:tbl>
      <w:tblPr>
        <w:tblStyle w:val="TableGrid"/>
        <w:tblW w:w="1459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539"/>
        <w:gridCol w:w="2523"/>
        <w:gridCol w:w="7258"/>
        <w:gridCol w:w="1276"/>
      </w:tblGrid>
      <w:tr w:rsidR="007D25A5" w:rsidRPr="007D25A5" w:rsidTr="000C0226">
        <w:trPr>
          <w:trHeight w:val="475"/>
        </w:trPr>
        <w:tc>
          <w:tcPr>
            <w:tcW w:w="3539" w:type="dxa"/>
            <w:shd w:val="clear" w:color="auto" w:fill="0070C0"/>
            <w:vAlign w:val="center"/>
          </w:tcPr>
          <w:p w:rsidR="00CB33E2" w:rsidRPr="007D25A5" w:rsidRDefault="00CB33E2" w:rsidP="00370A7F">
            <w:pPr>
              <w:rPr>
                <w:rFonts w:ascii="Arial" w:hAnsi="Arial" w:cs="Arial"/>
                <w:b/>
                <w:sz w:val="24"/>
                <w:szCs w:val="24"/>
              </w:rPr>
            </w:pPr>
            <w:r w:rsidRPr="007D25A5">
              <w:rPr>
                <w:rFonts w:ascii="Arial" w:hAnsi="Arial" w:cs="Arial"/>
                <w:b/>
                <w:sz w:val="24"/>
                <w:szCs w:val="24"/>
              </w:rPr>
              <w:t>PROJECT</w:t>
            </w:r>
          </w:p>
        </w:tc>
        <w:tc>
          <w:tcPr>
            <w:tcW w:w="2523" w:type="dxa"/>
            <w:tcBorders>
              <w:right w:val="single" w:sz="4" w:space="0" w:color="0070C0"/>
            </w:tcBorders>
            <w:shd w:val="clear" w:color="auto" w:fill="0070C0"/>
            <w:vAlign w:val="center"/>
          </w:tcPr>
          <w:p w:rsidR="00CB33E2" w:rsidRPr="007D25A5" w:rsidRDefault="00CB33E2" w:rsidP="00370A7F">
            <w:pPr>
              <w:rPr>
                <w:rFonts w:ascii="Arial" w:hAnsi="Arial" w:cs="Arial"/>
                <w:b/>
                <w:sz w:val="24"/>
                <w:szCs w:val="24"/>
              </w:rPr>
            </w:pPr>
            <w:r w:rsidRPr="007D25A5">
              <w:rPr>
                <w:rFonts w:ascii="Arial" w:hAnsi="Arial" w:cs="Arial"/>
                <w:b/>
                <w:sz w:val="24"/>
                <w:szCs w:val="24"/>
              </w:rPr>
              <w:t>METHOD</w:t>
            </w:r>
          </w:p>
        </w:tc>
        <w:tc>
          <w:tcPr>
            <w:tcW w:w="7258" w:type="dxa"/>
            <w:tcBorders>
              <w:left w:val="single" w:sz="4" w:space="0" w:color="0070C0"/>
            </w:tcBorders>
            <w:shd w:val="clear" w:color="auto" w:fill="0070C0"/>
            <w:vAlign w:val="center"/>
          </w:tcPr>
          <w:p w:rsidR="00CB33E2" w:rsidRPr="007D25A5" w:rsidRDefault="00CB33E2" w:rsidP="00370A7F">
            <w:pPr>
              <w:rPr>
                <w:rFonts w:ascii="Arial" w:hAnsi="Arial" w:cs="Arial"/>
                <w:b/>
                <w:sz w:val="24"/>
                <w:szCs w:val="24"/>
              </w:rPr>
            </w:pPr>
            <w:r w:rsidRPr="007D25A5">
              <w:rPr>
                <w:rFonts w:ascii="Arial" w:hAnsi="Arial" w:cs="Arial"/>
                <w:b/>
                <w:sz w:val="24"/>
                <w:szCs w:val="24"/>
              </w:rPr>
              <w:t>RELEVANCE TO POLICY &amp; PRACTICE</w:t>
            </w:r>
          </w:p>
        </w:tc>
        <w:tc>
          <w:tcPr>
            <w:tcW w:w="1276" w:type="dxa"/>
            <w:tcBorders>
              <w:left w:val="single" w:sz="4" w:space="0" w:color="0070C0"/>
            </w:tcBorders>
            <w:shd w:val="clear" w:color="auto" w:fill="0070C0"/>
            <w:vAlign w:val="center"/>
          </w:tcPr>
          <w:p w:rsidR="00CB33E2" w:rsidRPr="007D25A5" w:rsidRDefault="00CB33E2" w:rsidP="00370A7F">
            <w:pPr>
              <w:rPr>
                <w:rFonts w:ascii="Arial" w:hAnsi="Arial" w:cs="Arial"/>
                <w:b/>
                <w:sz w:val="24"/>
                <w:szCs w:val="24"/>
              </w:rPr>
            </w:pPr>
            <w:r w:rsidRPr="007D25A5">
              <w:rPr>
                <w:rFonts w:ascii="Arial" w:hAnsi="Arial" w:cs="Arial"/>
                <w:b/>
                <w:sz w:val="24"/>
                <w:szCs w:val="24"/>
              </w:rPr>
              <w:t>STATUS</w:t>
            </w:r>
          </w:p>
        </w:tc>
      </w:tr>
      <w:tr w:rsidR="007D25A5" w:rsidRPr="007D25A5" w:rsidTr="000C0226">
        <w:tc>
          <w:tcPr>
            <w:tcW w:w="3539" w:type="dxa"/>
          </w:tcPr>
          <w:p w:rsidR="00CB33E2" w:rsidRPr="007D25A5" w:rsidRDefault="00CB33E2" w:rsidP="009C584B">
            <w:pPr>
              <w:spacing w:line="280" w:lineRule="exact"/>
              <w:rPr>
                <w:rFonts w:ascii="Arial" w:hAnsi="Arial" w:cs="Arial"/>
                <w:sz w:val="24"/>
                <w:szCs w:val="24"/>
              </w:rPr>
            </w:pPr>
            <w:r w:rsidRPr="007D25A5">
              <w:rPr>
                <w:rFonts w:ascii="Arial" w:hAnsi="Arial" w:cs="Arial"/>
                <w:sz w:val="24"/>
                <w:szCs w:val="24"/>
              </w:rPr>
              <w:t xml:space="preserve">Management of long-term conditions in primary health care for adults with learning disabilities compared with the general population: a comparison over time </w:t>
            </w:r>
          </w:p>
          <w:p w:rsidR="00CB33E2" w:rsidRPr="007D25A5" w:rsidRDefault="00CB33E2" w:rsidP="009C584B">
            <w:pPr>
              <w:spacing w:line="280" w:lineRule="exact"/>
              <w:rPr>
                <w:rFonts w:ascii="Arial" w:hAnsi="Arial" w:cs="Arial"/>
                <w:sz w:val="24"/>
                <w:szCs w:val="24"/>
              </w:rPr>
            </w:pPr>
          </w:p>
          <w:p w:rsidR="00CB33E2" w:rsidRPr="007D25A5" w:rsidRDefault="007D25A5" w:rsidP="009C584B">
            <w:pPr>
              <w:spacing w:line="280" w:lineRule="exact"/>
              <w:rPr>
                <w:rStyle w:val="Hyperlink"/>
                <w:rFonts w:ascii="Arial" w:hAnsi="Arial" w:cs="Arial"/>
                <w:color w:val="auto"/>
                <w:sz w:val="24"/>
                <w:szCs w:val="24"/>
              </w:rPr>
            </w:pPr>
            <w:hyperlink r:id="rId10" w:history="1">
              <w:r w:rsidR="00CB33E2" w:rsidRPr="007D25A5">
                <w:rPr>
                  <w:rStyle w:val="Hyperlink"/>
                  <w:rFonts w:ascii="Arial" w:hAnsi="Arial" w:cs="Arial"/>
                  <w:color w:val="auto"/>
                  <w:sz w:val="24"/>
                  <w:szCs w:val="24"/>
                </w:rPr>
                <w:t>https://www.sldo.ac.uk/projects/primary-health-care/long-term-health-conditions-management-and-learning-disabilities/</w:t>
              </w:r>
            </w:hyperlink>
          </w:p>
          <w:p w:rsidR="00CB33E2" w:rsidRPr="007D25A5" w:rsidRDefault="00CB33E2" w:rsidP="009C584B">
            <w:pPr>
              <w:spacing w:line="280" w:lineRule="exact"/>
              <w:rPr>
                <w:rFonts w:ascii="Arial" w:hAnsi="Arial" w:cs="Arial"/>
                <w:sz w:val="24"/>
                <w:szCs w:val="24"/>
              </w:rPr>
            </w:pPr>
          </w:p>
        </w:tc>
        <w:tc>
          <w:tcPr>
            <w:tcW w:w="2523" w:type="dxa"/>
          </w:tcPr>
          <w:p w:rsidR="00CB33E2" w:rsidRPr="007D25A5" w:rsidRDefault="00CB33E2" w:rsidP="00F910F4">
            <w:pPr>
              <w:widowControl w:val="0"/>
              <w:rPr>
                <w:rFonts w:ascii="Arial" w:hAnsi="Arial" w:cs="Arial"/>
                <w:sz w:val="24"/>
                <w:szCs w:val="24"/>
              </w:rPr>
            </w:pPr>
            <w:r w:rsidRPr="007D25A5">
              <w:rPr>
                <w:rFonts w:ascii="Arial" w:hAnsi="Arial" w:cs="Arial"/>
                <w:sz w:val="24"/>
                <w:szCs w:val="24"/>
              </w:rPr>
              <w:t xml:space="preserve">Cohort study from 2007-2014. Completion on health care indicators compared with the general population in NHS Greater Glasgow and Clyde  </w:t>
            </w:r>
          </w:p>
        </w:tc>
        <w:tc>
          <w:tcPr>
            <w:tcW w:w="7258" w:type="dxa"/>
          </w:tcPr>
          <w:p w:rsidR="00CB33E2" w:rsidRPr="007D25A5" w:rsidRDefault="00CB33E2" w:rsidP="00BC3120">
            <w:pPr>
              <w:rPr>
                <w:rFonts w:ascii="Arial" w:hAnsi="Arial" w:cs="Arial"/>
                <w:sz w:val="24"/>
                <w:szCs w:val="24"/>
              </w:rPr>
            </w:pPr>
            <w:r w:rsidRPr="007D25A5">
              <w:rPr>
                <w:rFonts w:ascii="Arial" w:hAnsi="Arial" w:cs="Arial"/>
                <w:sz w:val="24"/>
                <w:szCs w:val="24"/>
              </w:rPr>
              <w:t xml:space="preserve">Good health care and health promotion is a pathway to health improvement. We found people with learning disabilities receive poorer primary health care than the general population, but crucially, following health checks and learning disabilities-primary care liaison within NHS Greater Glasgow and Clyde, we have demonstrated a narrowing of the health care inequality gap over time. This is good practice to share across Scotland, and suggests the need for policy consideration regarding </w:t>
            </w:r>
            <w:r w:rsidR="00EB282F" w:rsidRPr="007D25A5">
              <w:rPr>
                <w:rFonts w:ascii="Arial" w:hAnsi="Arial" w:cs="Arial"/>
                <w:sz w:val="24"/>
                <w:szCs w:val="24"/>
              </w:rPr>
              <w:t xml:space="preserve">national provision of </w:t>
            </w:r>
            <w:r w:rsidRPr="007D25A5">
              <w:rPr>
                <w:rFonts w:ascii="Arial" w:hAnsi="Arial" w:cs="Arial"/>
                <w:sz w:val="24"/>
                <w:szCs w:val="24"/>
              </w:rPr>
              <w:t>health check</w:t>
            </w:r>
            <w:r w:rsidR="00EB282F" w:rsidRPr="007D25A5">
              <w:rPr>
                <w:rFonts w:ascii="Arial" w:hAnsi="Arial" w:cs="Arial"/>
                <w:sz w:val="24"/>
                <w:szCs w:val="24"/>
              </w:rPr>
              <w:t>s for adults with learning disabilities</w:t>
            </w:r>
            <w:r w:rsidRPr="007D25A5">
              <w:rPr>
                <w:rFonts w:ascii="Arial" w:hAnsi="Arial" w:cs="Arial"/>
                <w:sz w:val="24"/>
                <w:szCs w:val="24"/>
              </w:rPr>
              <w:t>.</w:t>
            </w:r>
          </w:p>
          <w:p w:rsidR="00CB33E2" w:rsidRPr="007D25A5" w:rsidRDefault="00CB33E2" w:rsidP="009C584B">
            <w:pPr>
              <w:rPr>
                <w:rFonts w:ascii="Arial" w:hAnsi="Arial" w:cs="Arial"/>
                <w:sz w:val="24"/>
                <w:szCs w:val="24"/>
              </w:rPr>
            </w:pPr>
          </w:p>
        </w:tc>
        <w:tc>
          <w:tcPr>
            <w:tcW w:w="1276" w:type="dxa"/>
          </w:tcPr>
          <w:p w:rsidR="00CB33E2" w:rsidRPr="007D25A5" w:rsidRDefault="004E7934" w:rsidP="004E7934">
            <w:pPr>
              <w:rPr>
                <w:rFonts w:ascii="Arial" w:hAnsi="Arial" w:cs="Arial"/>
                <w:sz w:val="24"/>
                <w:szCs w:val="24"/>
              </w:rPr>
            </w:pPr>
            <w:r w:rsidRPr="007D25A5">
              <w:rPr>
                <w:rFonts w:ascii="Arial" w:hAnsi="Arial" w:cs="Arial"/>
                <w:sz w:val="24"/>
                <w:szCs w:val="24"/>
              </w:rPr>
              <w:t>Dissemin-ating</w:t>
            </w:r>
          </w:p>
        </w:tc>
      </w:tr>
      <w:tr w:rsidR="007D25A5" w:rsidRPr="007D25A5" w:rsidTr="000C0226">
        <w:tc>
          <w:tcPr>
            <w:tcW w:w="3539" w:type="dxa"/>
          </w:tcPr>
          <w:p w:rsidR="00CB33E2" w:rsidRPr="007D25A5" w:rsidRDefault="00CB33E2" w:rsidP="009C584B">
            <w:pPr>
              <w:spacing w:line="280" w:lineRule="exact"/>
              <w:rPr>
                <w:rFonts w:ascii="Arial" w:hAnsi="Arial" w:cs="Arial"/>
                <w:sz w:val="24"/>
                <w:szCs w:val="24"/>
              </w:rPr>
            </w:pPr>
            <w:r w:rsidRPr="007D25A5">
              <w:rPr>
                <w:rFonts w:ascii="Arial" w:hAnsi="Arial" w:cs="Arial"/>
                <w:sz w:val="24"/>
                <w:szCs w:val="24"/>
              </w:rPr>
              <w:t>Prevalence and</w:t>
            </w:r>
            <w:r w:rsidR="00EB282F" w:rsidRPr="007D25A5">
              <w:rPr>
                <w:rFonts w:ascii="Arial" w:hAnsi="Arial" w:cs="Arial"/>
                <w:sz w:val="24"/>
                <w:szCs w:val="24"/>
              </w:rPr>
              <w:t xml:space="preserve"> general health status of children, young people and adults</w:t>
            </w:r>
            <w:r w:rsidRPr="007D25A5">
              <w:rPr>
                <w:rFonts w:ascii="Arial" w:hAnsi="Arial" w:cs="Arial"/>
                <w:sz w:val="24"/>
                <w:szCs w:val="24"/>
              </w:rPr>
              <w:t xml:space="preserve"> with learning disabilities in Scotland</w:t>
            </w:r>
          </w:p>
          <w:p w:rsidR="00CB33E2" w:rsidRPr="007D25A5" w:rsidRDefault="00CB33E2" w:rsidP="009C584B">
            <w:pPr>
              <w:spacing w:line="280" w:lineRule="exact"/>
              <w:rPr>
                <w:rFonts w:ascii="Arial" w:hAnsi="Arial" w:cs="Arial"/>
                <w:sz w:val="24"/>
                <w:szCs w:val="24"/>
              </w:rPr>
            </w:pPr>
          </w:p>
          <w:p w:rsidR="00CB33E2" w:rsidRPr="007D25A5" w:rsidRDefault="007D25A5" w:rsidP="009C584B">
            <w:pPr>
              <w:spacing w:line="280" w:lineRule="exact"/>
              <w:rPr>
                <w:rFonts w:ascii="Arial" w:hAnsi="Arial" w:cs="Arial"/>
                <w:sz w:val="24"/>
                <w:szCs w:val="24"/>
              </w:rPr>
            </w:pPr>
            <w:hyperlink r:id="rId11" w:history="1">
              <w:r w:rsidR="00CB33E2" w:rsidRPr="007D25A5">
                <w:rPr>
                  <w:rStyle w:val="Hyperlink"/>
                  <w:rFonts w:ascii="Arial" w:hAnsi="Arial" w:cs="Arial"/>
                  <w:color w:val="auto"/>
                  <w:sz w:val="24"/>
                  <w:szCs w:val="24"/>
                </w:rPr>
                <w:t>https://www.sldo.ac.uk/projects/health/census-2011-people-with-learning-disabilities/</w:t>
              </w:r>
            </w:hyperlink>
            <w:r w:rsidR="00CB33E2" w:rsidRPr="007D25A5">
              <w:rPr>
                <w:rFonts w:ascii="Arial" w:hAnsi="Arial" w:cs="Arial"/>
                <w:sz w:val="24"/>
                <w:szCs w:val="24"/>
              </w:rPr>
              <w:t xml:space="preserve"> </w:t>
            </w:r>
          </w:p>
          <w:p w:rsidR="00CB33E2" w:rsidRPr="007D25A5" w:rsidRDefault="00CB33E2" w:rsidP="009C584B">
            <w:pPr>
              <w:spacing w:line="280" w:lineRule="exact"/>
              <w:rPr>
                <w:rFonts w:ascii="Arial" w:hAnsi="Arial" w:cs="Arial"/>
                <w:sz w:val="24"/>
                <w:szCs w:val="24"/>
              </w:rPr>
            </w:pPr>
          </w:p>
        </w:tc>
        <w:tc>
          <w:tcPr>
            <w:tcW w:w="2523" w:type="dxa"/>
          </w:tcPr>
          <w:p w:rsidR="00CB33E2" w:rsidRPr="007D25A5" w:rsidRDefault="00CB33E2" w:rsidP="00CF4015">
            <w:pPr>
              <w:rPr>
                <w:rFonts w:ascii="Arial" w:hAnsi="Arial" w:cs="Arial"/>
                <w:sz w:val="24"/>
                <w:szCs w:val="24"/>
              </w:rPr>
            </w:pPr>
            <w:r w:rsidRPr="007D25A5">
              <w:rPr>
                <w:rFonts w:ascii="Arial" w:hAnsi="Arial" w:cs="Arial"/>
                <w:sz w:val="24"/>
                <w:szCs w:val="24"/>
              </w:rPr>
              <w:t xml:space="preserve">Analysis of health data from people with learning disabilities compared with the general population using Scotland’s Census, 2011 </w:t>
            </w:r>
          </w:p>
        </w:tc>
        <w:tc>
          <w:tcPr>
            <w:tcW w:w="7258" w:type="dxa"/>
          </w:tcPr>
          <w:p w:rsidR="00CB33E2" w:rsidRPr="007D25A5" w:rsidRDefault="00CB33E2" w:rsidP="009C584B">
            <w:pPr>
              <w:contextualSpacing/>
              <w:rPr>
                <w:rFonts w:ascii="Arial" w:eastAsiaTheme="minorEastAsia" w:hAnsi="Arial" w:cs="Arial"/>
                <w:sz w:val="24"/>
                <w:szCs w:val="24"/>
                <w:lang w:eastAsia="en-GB"/>
              </w:rPr>
            </w:pPr>
            <w:r w:rsidRPr="007D25A5">
              <w:rPr>
                <w:rFonts w:ascii="Arial" w:eastAsiaTheme="minorEastAsia" w:hAnsi="Arial" w:cs="Arial"/>
                <w:sz w:val="24"/>
                <w:szCs w:val="24"/>
                <w:lang w:eastAsia="en-GB"/>
              </w:rPr>
              <w:t>We found substantially lowe</w:t>
            </w:r>
            <w:r w:rsidR="00EB282F" w:rsidRPr="007D25A5">
              <w:rPr>
                <w:rFonts w:ascii="Arial" w:eastAsiaTheme="minorEastAsia" w:hAnsi="Arial" w:cs="Arial"/>
                <w:sz w:val="24"/>
                <w:szCs w:val="24"/>
                <w:lang w:eastAsia="en-GB"/>
              </w:rPr>
              <w:t>r general health ratings and a</w:t>
            </w:r>
            <w:r w:rsidRPr="007D25A5">
              <w:rPr>
                <w:rFonts w:ascii="Arial" w:eastAsiaTheme="minorEastAsia" w:hAnsi="Arial" w:cs="Arial"/>
                <w:sz w:val="24"/>
                <w:szCs w:val="24"/>
                <w:lang w:eastAsia="en-GB"/>
              </w:rPr>
              <w:t xml:space="preserve"> greater limiting effect on daily activities. This was across the lifespan for people with learning disabilities, including in early childhood. Specialist learning disabilities services have traditionally had a focus on skill development, mental health, challenging behaviours and epilepsy. This study demonstrates the need to raise professional awareness to pay greater consideration and time on general health needs of people with learning disabilities. Further work is required to understand the determines of this substantial health inequality. </w:t>
            </w:r>
          </w:p>
          <w:p w:rsidR="00370A7F" w:rsidRPr="007D25A5" w:rsidRDefault="00370A7F" w:rsidP="009C584B">
            <w:pPr>
              <w:contextualSpacing/>
              <w:rPr>
                <w:rFonts w:ascii="Arial" w:hAnsi="Arial" w:cs="Arial"/>
                <w:sz w:val="24"/>
                <w:szCs w:val="24"/>
              </w:rPr>
            </w:pPr>
          </w:p>
          <w:p w:rsidR="00CB33E2" w:rsidRPr="007D25A5" w:rsidRDefault="00CB33E2" w:rsidP="009C584B">
            <w:pPr>
              <w:rPr>
                <w:rFonts w:ascii="Arial" w:hAnsi="Arial" w:cs="Arial"/>
                <w:sz w:val="24"/>
                <w:szCs w:val="24"/>
              </w:rPr>
            </w:pPr>
          </w:p>
        </w:tc>
        <w:tc>
          <w:tcPr>
            <w:tcW w:w="1276" w:type="dxa"/>
          </w:tcPr>
          <w:p w:rsidR="00CB33E2" w:rsidRPr="007D25A5" w:rsidRDefault="004E7934" w:rsidP="009C584B">
            <w:pPr>
              <w:contextualSpacing/>
              <w:rPr>
                <w:rFonts w:ascii="Arial" w:eastAsiaTheme="minorEastAsia" w:hAnsi="Arial" w:cs="Arial"/>
                <w:sz w:val="24"/>
                <w:szCs w:val="24"/>
                <w:lang w:eastAsia="en-GB"/>
              </w:rPr>
            </w:pPr>
            <w:r w:rsidRPr="007D25A5">
              <w:rPr>
                <w:rFonts w:ascii="Arial" w:eastAsiaTheme="minorEastAsia" w:hAnsi="Arial" w:cs="Arial"/>
                <w:sz w:val="24"/>
                <w:szCs w:val="24"/>
                <w:lang w:eastAsia="en-GB"/>
              </w:rPr>
              <w:t>Dissemin-ating</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Comorbid health conditions in people with autism</w:t>
            </w:r>
          </w:p>
          <w:p w:rsidR="00CB33E2" w:rsidRPr="007D25A5" w:rsidRDefault="00CB33E2" w:rsidP="00FC542A">
            <w:pPr>
              <w:spacing w:line="280" w:lineRule="exact"/>
              <w:rPr>
                <w:rFonts w:ascii="Arial" w:hAnsi="Arial" w:cs="Arial"/>
                <w:sz w:val="24"/>
                <w:szCs w:val="24"/>
              </w:rPr>
            </w:pPr>
          </w:p>
          <w:p w:rsidR="00CB33E2" w:rsidRPr="007D25A5" w:rsidRDefault="0032403F" w:rsidP="0032403F">
            <w:pPr>
              <w:rPr>
                <w:rFonts w:ascii="Arial" w:hAnsi="Arial" w:cs="Arial"/>
                <w:sz w:val="24"/>
                <w:szCs w:val="24"/>
              </w:rPr>
            </w:pPr>
            <w:hyperlink r:id="rId12" w:history="1">
              <w:r w:rsidRPr="007D25A5">
                <w:rPr>
                  <w:rStyle w:val="Hyperlink"/>
                  <w:rFonts w:ascii="Arial" w:hAnsi="Arial" w:cs="Arial"/>
                  <w:color w:val="auto"/>
                  <w:sz w:val="24"/>
                  <w:szCs w:val="24"/>
                </w:rPr>
                <w:t>https://www.sldo.ac.uk/projects/autism/autism-and-health/</w:t>
              </w:r>
            </w:hyperlink>
          </w:p>
        </w:tc>
        <w:tc>
          <w:tcPr>
            <w:tcW w:w="2523" w:type="dxa"/>
          </w:tcPr>
          <w:p w:rsidR="00CB33E2" w:rsidRPr="007D25A5" w:rsidRDefault="00CB33E2" w:rsidP="00CF4015">
            <w:pPr>
              <w:tabs>
                <w:tab w:val="left" w:pos="3168"/>
              </w:tabs>
              <w:rPr>
                <w:rFonts w:ascii="Arial" w:hAnsi="Arial" w:cs="Arial"/>
                <w:sz w:val="24"/>
                <w:szCs w:val="24"/>
              </w:rPr>
            </w:pPr>
            <w:r w:rsidRPr="007D25A5">
              <w:rPr>
                <w:rFonts w:ascii="Arial" w:hAnsi="Arial" w:cs="Arial"/>
                <w:sz w:val="24"/>
                <w:szCs w:val="24"/>
              </w:rPr>
              <w:t>Systematic review of systematic reviews</w:t>
            </w:r>
          </w:p>
        </w:tc>
        <w:tc>
          <w:tcPr>
            <w:tcW w:w="7258" w:type="dxa"/>
          </w:tcPr>
          <w:p w:rsidR="00CB33E2" w:rsidRPr="007D25A5" w:rsidRDefault="00CB33E2" w:rsidP="00BA6981">
            <w:pPr>
              <w:widowControl w:val="0"/>
              <w:autoSpaceDE w:val="0"/>
              <w:autoSpaceDN w:val="0"/>
              <w:adjustRightInd w:val="0"/>
              <w:rPr>
                <w:rFonts w:ascii="Arial" w:hAnsi="Arial" w:cs="Arial"/>
                <w:sz w:val="24"/>
                <w:szCs w:val="24"/>
                <w:lang w:val="en-US"/>
              </w:rPr>
            </w:pPr>
            <w:r w:rsidRPr="007D25A5">
              <w:rPr>
                <w:rFonts w:ascii="Arial" w:hAnsi="Arial" w:cs="Arial"/>
                <w:sz w:val="24"/>
                <w:szCs w:val="24"/>
                <w:lang w:val="en-US"/>
              </w:rPr>
              <w:t>There is emerging evidence that people with autism have a different pattern of health conditions compared with the general population, and may be at higher risk of suicide. This review will identify what we know on this topic and where knowledge gaps remain. Professionals need this information to develop guidelines and training for improved detection and interventions aimed at improving quality of life for people with autism. This is closely aligned to values at the core of the Scottish Strategy for Autism and its recommendations.</w:t>
            </w:r>
          </w:p>
          <w:p w:rsidR="00CB33E2" w:rsidRPr="007D25A5" w:rsidRDefault="00CB33E2" w:rsidP="00BA6981">
            <w:pPr>
              <w:widowControl w:val="0"/>
              <w:autoSpaceDE w:val="0"/>
              <w:autoSpaceDN w:val="0"/>
              <w:adjustRightInd w:val="0"/>
              <w:rPr>
                <w:rFonts w:ascii="Arial" w:hAnsi="Arial" w:cs="Arial"/>
                <w:sz w:val="24"/>
                <w:szCs w:val="24"/>
              </w:rPr>
            </w:pPr>
          </w:p>
        </w:tc>
        <w:tc>
          <w:tcPr>
            <w:tcW w:w="1276" w:type="dxa"/>
          </w:tcPr>
          <w:p w:rsidR="00CB33E2" w:rsidRPr="007D25A5" w:rsidRDefault="004E7934" w:rsidP="00BA6981">
            <w:pPr>
              <w:widowControl w:val="0"/>
              <w:autoSpaceDE w:val="0"/>
              <w:autoSpaceDN w:val="0"/>
              <w:adjustRightInd w:val="0"/>
              <w:rPr>
                <w:rFonts w:ascii="Arial" w:hAnsi="Arial" w:cs="Arial"/>
                <w:sz w:val="24"/>
                <w:szCs w:val="24"/>
                <w:lang w:val="en-US"/>
              </w:rPr>
            </w:pPr>
            <w:r w:rsidRPr="007D25A5">
              <w:rPr>
                <w:rFonts w:ascii="Arial" w:hAnsi="Arial" w:cs="Arial"/>
                <w:sz w:val="24"/>
                <w:szCs w:val="24"/>
                <w:lang w:val="en-US"/>
              </w:rPr>
              <w:t>In progress</w:t>
            </w:r>
          </w:p>
        </w:tc>
      </w:tr>
      <w:tr w:rsidR="007D25A5" w:rsidRPr="007D25A5" w:rsidTr="000C0226">
        <w:tc>
          <w:tcPr>
            <w:tcW w:w="3539" w:type="dxa"/>
          </w:tcPr>
          <w:p w:rsidR="00EB282F" w:rsidRPr="007D25A5" w:rsidRDefault="00EB282F" w:rsidP="00EB282F">
            <w:pPr>
              <w:rPr>
                <w:rFonts w:ascii="Arial" w:hAnsi="Arial" w:cs="Arial"/>
                <w:sz w:val="24"/>
                <w:szCs w:val="24"/>
              </w:rPr>
            </w:pPr>
            <w:r w:rsidRPr="007D25A5">
              <w:rPr>
                <w:rFonts w:ascii="Arial" w:hAnsi="Arial" w:cs="Arial"/>
                <w:sz w:val="24"/>
                <w:szCs w:val="24"/>
              </w:rPr>
              <w:t>Health needs of children, young people and adults with autism</w:t>
            </w:r>
          </w:p>
          <w:p w:rsidR="00EB282F" w:rsidRPr="007D25A5" w:rsidRDefault="00EB282F" w:rsidP="00EB282F">
            <w:pPr>
              <w:rPr>
                <w:rFonts w:ascii="Arial" w:hAnsi="Arial" w:cs="Arial"/>
                <w:sz w:val="24"/>
                <w:szCs w:val="24"/>
              </w:rPr>
            </w:pPr>
          </w:p>
          <w:p w:rsidR="004C5E09" w:rsidRPr="007D25A5" w:rsidRDefault="007D25A5" w:rsidP="00EB282F">
            <w:pPr>
              <w:rPr>
                <w:rFonts w:ascii="Arial" w:hAnsi="Arial" w:cs="Arial"/>
                <w:sz w:val="24"/>
                <w:szCs w:val="24"/>
              </w:rPr>
            </w:pPr>
            <w:hyperlink r:id="rId13" w:history="1">
              <w:r w:rsidR="00EB282F" w:rsidRPr="007D25A5">
                <w:rPr>
                  <w:rStyle w:val="Hyperlink"/>
                  <w:rFonts w:ascii="Arial" w:hAnsi="Arial" w:cs="Arial"/>
                  <w:color w:val="auto"/>
                  <w:sz w:val="24"/>
                  <w:szCs w:val="24"/>
                </w:rPr>
                <w:t>https://www.sldo.ac.uk/projects/health/cen</w:t>
              </w:r>
              <w:r w:rsidR="00EB282F" w:rsidRPr="007D25A5">
                <w:rPr>
                  <w:rStyle w:val="Hyperlink"/>
                  <w:rFonts w:ascii="Arial" w:hAnsi="Arial" w:cs="Arial"/>
                  <w:color w:val="auto"/>
                  <w:sz w:val="24"/>
                  <w:szCs w:val="24"/>
                </w:rPr>
                <w:t>s</w:t>
              </w:r>
              <w:r w:rsidR="00EB282F" w:rsidRPr="007D25A5">
                <w:rPr>
                  <w:rStyle w:val="Hyperlink"/>
                  <w:rFonts w:ascii="Arial" w:hAnsi="Arial" w:cs="Arial"/>
                  <w:color w:val="auto"/>
                  <w:sz w:val="24"/>
                  <w:szCs w:val="24"/>
                </w:rPr>
                <w:t>us-2011-people-with-autism/</w:t>
              </w:r>
            </w:hyperlink>
          </w:p>
          <w:p w:rsidR="00EB282F" w:rsidRPr="007D25A5" w:rsidRDefault="00EB282F" w:rsidP="00FC542A">
            <w:pPr>
              <w:spacing w:line="280" w:lineRule="exact"/>
              <w:rPr>
                <w:rFonts w:ascii="Arial" w:hAnsi="Arial" w:cs="Arial"/>
                <w:sz w:val="24"/>
                <w:szCs w:val="24"/>
              </w:rPr>
            </w:pPr>
          </w:p>
        </w:tc>
        <w:tc>
          <w:tcPr>
            <w:tcW w:w="2523" w:type="dxa"/>
          </w:tcPr>
          <w:p w:rsidR="00EB282F" w:rsidRPr="007D25A5" w:rsidRDefault="00EB282F" w:rsidP="00CF4015">
            <w:pPr>
              <w:tabs>
                <w:tab w:val="left" w:pos="3168"/>
              </w:tabs>
              <w:rPr>
                <w:rFonts w:ascii="Arial" w:hAnsi="Arial" w:cs="Arial"/>
                <w:sz w:val="24"/>
                <w:szCs w:val="24"/>
              </w:rPr>
            </w:pPr>
            <w:r w:rsidRPr="007D25A5">
              <w:rPr>
                <w:rFonts w:ascii="Arial" w:hAnsi="Arial" w:cs="Arial"/>
                <w:sz w:val="24"/>
                <w:szCs w:val="24"/>
              </w:rPr>
              <w:t>Analysis of health data from people with autism compared with the general population using Scotland’s Census 2011</w:t>
            </w:r>
          </w:p>
        </w:tc>
        <w:tc>
          <w:tcPr>
            <w:tcW w:w="7258" w:type="dxa"/>
          </w:tcPr>
          <w:p w:rsidR="00EB282F" w:rsidRPr="007D25A5" w:rsidRDefault="00EB282F" w:rsidP="00EB282F">
            <w:pPr>
              <w:widowControl w:val="0"/>
              <w:autoSpaceDE w:val="0"/>
              <w:autoSpaceDN w:val="0"/>
              <w:adjustRightInd w:val="0"/>
              <w:rPr>
                <w:rFonts w:ascii="Arial" w:hAnsi="Arial" w:cs="Arial"/>
                <w:sz w:val="24"/>
                <w:szCs w:val="24"/>
                <w:lang w:val="en-US"/>
              </w:rPr>
            </w:pPr>
            <w:r w:rsidRPr="007D25A5">
              <w:rPr>
                <w:rFonts w:ascii="Arial" w:hAnsi="Arial" w:cs="Arial"/>
                <w:sz w:val="24"/>
                <w:szCs w:val="24"/>
                <w:lang w:val="en-US"/>
              </w:rPr>
              <w:t xml:space="preserve">We found that children, young people and adults have poorer general health than the age, gender matched general population. It is important to know the extent of the inequality gap to plan resources and care in an informed way. The reasons for this inequality are not yet understood, and will be important to identify, as a starting point to prevention and identification of interventions. </w:t>
            </w:r>
          </w:p>
          <w:p w:rsidR="00EB282F" w:rsidRPr="007D25A5" w:rsidRDefault="00EB282F" w:rsidP="00BA6981">
            <w:pPr>
              <w:widowControl w:val="0"/>
              <w:autoSpaceDE w:val="0"/>
              <w:autoSpaceDN w:val="0"/>
              <w:adjustRightInd w:val="0"/>
              <w:rPr>
                <w:rFonts w:ascii="Arial" w:hAnsi="Arial" w:cs="Arial"/>
                <w:sz w:val="24"/>
                <w:szCs w:val="24"/>
                <w:lang w:val="en-US"/>
              </w:rPr>
            </w:pPr>
          </w:p>
        </w:tc>
        <w:tc>
          <w:tcPr>
            <w:tcW w:w="1276" w:type="dxa"/>
          </w:tcPr>
          <w:p w:rsidR="00EB282F" w:rsidRPr="007D25A5" w:rsidRDefault="00EB282F" w:rsidP="00BA6981">
            <w:pPr>
              <w:widowControl w:val="0"/>
              <w:autoSpaceDE w:val="0"/>
              <w:autoSpaceDN w:val="0"/>
              <w:adjustRightInd w:val="0"/>
              <w:rPr>
                <w:rFonts w:ascii="Arial" w:hAnsi="Arial" w:cs="Arial"/>
                <w:sz w:val="24"/>
                <w:szCs w:val="24"/>
                <w:lang w:val="en-US"/>
              </w:rPr>
            </w:pPr>
            <w:r w:rsidRPr="007D25A5">
              <w:rPr>
                <w:rFonts w:ascii="Arial" w:hAnsi="Arial" w:cs="Arial"/>
                <w:sz w:val="24"/>
                <w:szCs w:val="24"/>
                <w:lang w:val="en-US"/>
              </w:rPr>
              <w:t>Dissemin-ating</w:t>
            </w:r>
          </w:p>
        </w:tc>
      </w:tr>
      <w:tr w:rsidR="007D25A5" w:rsidRPr="007D25A5" w:rsidTr="000C0226">
        <w:tc>
          <w:tcPr>
            <w:tcW w:w="3539" w:type="dxa"/>
          </w:tcPr>
          <w:p w:rsidR="007D25A5" w:rsidRPr="007D25A5" w:rsidRDefault="007D25A5" w:rsidP="00EB282F">
            <w:pPr>
              <w:rPr>
                <w:rFonts w:ascii="Arial" w:hAnsi="Arial" w:cs="Arial"/>
                <w:sz w:val="24"/>
                <w:szCs w:val="24"/>
              </w:rPr>
            </w:pPr>
            <w:r w:rsidRPr="007D25A5">
              <w:rPr>
                <w:rFonts w:ascii="Arial" w:hAnsi="Arial" w:cs="Arial"/>
                <w:sz w:val="24"/>
                <w:szCs w:val="24"/>
              </w:rPr>
              <w:t>The prevalence and types of physical ill-health in adults with learning disabilities with and without Down syndrome</w:t>
            </w:r>
          </w:p>
          <w:p w:rsidR="007D25A5" w:rsidRPr="007D25A5" w:rsidRDefault="007D25A5" w:rsidP="00EB282F">
            <w:pPr>
              <w:rPr>
                <w:rFonts w:ascii="Arial" w:hAnsi="Arial" w:cs="Arial"/>
                <w:sz w:val="24"/>
                <w:szCs w:val="24"/>
              </w:rPr>
            </w:pPr>
          </w:p>
          <w:p w:rsidR="007D25A5" w:rsidRPr="007D25A5" w:rsidRDefault="007D25A5" w:rsidP="007D25A5">
            <w:pPr>
              <w:keepNext/>
              <w:keepLines/>
              <w:rPr>
                <w:rFonts w:ascii="Arial" w:hAnsi="Arial" w:cs="Arial"/>
                <w:sz w:val="24"/>
                <w:szCs w:val="24"/>
              </w:rPr>
            </w:pPr>
            <w:hyperlink r:id="rId14" w:history="1">
              <w:r w:rsidRPr="007D25A5">
                <w:rPr>
                  <w:rStyle w:val="Hyperlink"/>
                  <w:rFonts w:ascii="Arial" w:hAnsi="Arial" w:cs="Arial"/>
                  <w:color w:val="auto"/>
                  <w:sz w:val="24"/>
                  <w:szCs w:val="24"/>
                </w:rPr>
                <w:t>https://www.sldo.ac.uk/projects/health/physic</w:t>
              </w:r>
              <w:r w:rsidRPr="007D25A5">
                <w:rPr>
                  <w:rStyle w:val="Hyperlink"/>
                  <w:rFonts w:ascii="Arial" w:hAnsi="Arial" w:cs="Arial"/>
                  <w:color w:val="auto"/>
                  <w:sz w:val="24"/>
                  <w:szCs w:val="24"/>
                </w:rPr>
                <w:t>a</w:t>
              </w:r>
              <w:r w:rsidRPr="007D25A5">
                <w:rPr>
                  <w:rStyle w:val="Hyperlink"/>
                  <w:rFonts w:ascii="Arial" w:hAnsi="Arial" w:cs="Arial"/>
                  <w:color w:val="auto"/>
                  <w:sz w:val="24"/>
                  <w:szCs w:val="24"/>
                </w:rPr>
                <w:t>l-health/</w:t>
              </w:r>
            </w:hyperlink>
            <w:r w:rsidRPr="007D25A5">
              <w:rPr>
                <w:rFonts w:ascii="Arial" w:hAnsi="Arial" w:cs="Arial"/>
                <w:sz w:val="24"/>
                <w:szCs w:val="24"/>
              </w:rPr>
              <w:t xml:space="preserve"> </w:t>
            </w:r>
          </w:p>
          <w:p w:rsidR="007D25A5" w:rsidRPr="007D25A5" w:rsidRDefault="007D25A5" w:rsidP="00EB282F">
            <w:pPr>
              <w:rPr>
                <w:rFonts w:ascii="Arial" w:hAnsi="Arial" w:cs="Arial"/>
                <w:sz w:val="24"/>
                <w:szCs w:val="24"/>
              </w:rPr>
            </w:pPr>
          </w:p>
          <w:p w:rsidR="007D25A5" w:rsidRPr="007D25A5" w:rsidRDefault="007D25A5" w:rsidP="00EB282F">
            <w:pPr>
              <w:rPr>
                <w:rFonts w:ascii="Arial" w:hAnsi="Arial" w:cs="Arial"/>
                <w:sz w:val="24"/>
                <w:szCs w:val="24"/>
              </w:rPr>
            </w:pPr>
          </w:p>
          <w:p w:rsidR="007D25A5" w:rsidRPr="007D25A5" w:rsidRDefault="007D25A5" w:rsidP="00EB282F">
            <w:pPr>
              <w:rPr>
                <w:rFonts w:ascii="Arial" w:hAnsi="Arial" w:cs="Arial"/>
                <w:sz w:val="24"/>
                <w:szCs w:val="24"/>
              </w:rPr>
            </w:pPr>
          </w:p>
          <w:p w:rsidR="007D25A5" w:rsidRPr="007D25A5" w:rsidRDefault="007D25A5" w:rsidP="00EB282F">
            <w:pPr>
              <w:rPr>
                <w:rFonts w:ascii="Arial" w:hAnsi="Arial" w:cs="Arial"/>
                <w:sz w:val="24"/>
                <w:szCs w:val="24"/>
              </w:rPr>
            </w:pPr>
          </w:p>
        </w:tc>
        <w:tc>
          <w:tcPr>
            <w:tcW w:w="2523" w:type="dxa"/>
          </w:tcPr>
          <w:p w:rsidR="007D25A5" w:rsidRPr="007D25A5" w:rsidRDefault="007D25A5" w:rsidP="00CF4015">
            <w:pPr>
              <w:tabs>
                <w:tab w:val="left" w:pos="3168"/>
              </w:tabs>
              <w:rPr>
                <w:rFonts w:ascii="Arial" w:hAnsi="Arial" w:cs="Arial"/>
                <w:sz w:val="24"/>
                <w:szCs w:val="24"/>
              </w:rPr>
            </w:pPr>
            <w:r w:rsidRPr="007D25A5">
              <w:rPr>
                <w:rFonts w:ascii="Arial" w:hAnsi="Arial" w:cs="Arial"/>
                <w:sz w:val="24"/>
                <w:szCs w:val="24"/>
              </w:rPr>
              <w:t>Large cohort study of 1,023 adults with learning disabilities</w:t>
            </w:r>
          </w:p>
        </w:tc>
        <w:tc>
          <w:tcPr>
            <w:tcW w:w="7258" w:type="dxa"/>
          </w:tcPr>
          <w:p w:rsidR="007D25A5" w:rsidRPr="007D25A5" w:rsidRDefault="007D25A5" w:rsidP="007D25A5">
            <w:pPr>
              <w:tabs>
                <w:tab w:val="left" w:pos="3168"/>
              </w:tabs>
              <w:rPr>
                <w:rFonts w:ascii="Arial" w:hAnsi="Arial" w:cs="Arial"/>
                <w:sz w:val="24"/>
                <w:szCs w:val="24"/>
              </w:rPr>
            </w:pPr>
            <w:r w:rsidRPr="007D25A5">
              <w:rPr>
                <w:rFonts w:ascii="Arial" w:hAnsi="Arial" w:cs="Arial"/>
                <w:sz w:val="24"/>
                <w:szCs w:val="24"/>
              </w:rPr>
              <w:t xml:space="preserve">Failure to identify health conditions and diagnostic overshadowing are common for people with learning disabilities. Healthcare professionals and carers need information about the presentations and demographics of commonly occurring conditions, so they can identify and report problems in a timely manner and thus prevent unnecessary suffering from potentially serious, painful and/or disabling conditions. We found multi-morbidity in 98% of adults with learning disabilities and at all ages, whereas it is a problem of middle and old age in the general population. Policy and practice development on multi-morbidity is relatively recent. It needs to be relevant across the life course for people with learning disabilities, and regardless of the type of neighbourhood they live in. </w:t>
            </w:r>
          </w:p>
          <w:p w:rsidR="007D25A5" w:rsidRPr="007D25A5" w:rsidRDefault="007D25A5" w:rsidP="007D25A5">
            <w:pPr>
              <w:tabs>
                <w:tab w:val="left" w:pos="3168"/>
              </w:tabs>
              <w:rPr>
                <w:rFonts w:ascii="Arial" w:hAnsi="Arial" w:cs="Arial"/>
                <w:sz w:val="24"/>
                <w:szCs w:val="24"/>
              </w:rPr>
            </w:pPr>
          </w:p>
          <w:p w:rsidR="007D25A5" w:rsidRPr="007D25A5" w:rsidRDefault="007D25A5" w:rsidP="007D25A5">
            <w:pPr>
              <w:tabs>
                <w:tab w:val="left" w:pos="3168"/>
              </w:tabs>
              <w:rPr>
                <w:rFonts w:ascii="Arial" w:hAnsi="Arial" w:cs="Arial"/>
                <w:sz w:val="24"/>
                <w:szCs w:val="24"/>
              </w:rPr>
            </w:pPr>
          </w:p>
          <w:p w:rsidR="007D25A5" w:rsidRPr="007D25A5" w:rsidRDefault="007D25A5" w:rsidP="00EB282F">
            <w:pPr>
              <w:widowControl w:val="0"/>
              <w:autoSpaceDE w:val="0"/>
              <w:autoSpaceDN w:val="0"/>
              <w:adjustRightInd w:val="0"/>
              <w:rPr>
                <w:rFonts w:ascii="Arial" w:hAnsi="Arial" w:cs="Arial"/>
                <w:sz w:val="24"/>
                <w:szCs w:val="24"/>
                <w:lang w:val="en-US"/>
              </w:rPr>
            </w:pPr>
          </w:p>
        </w:tc>
        <w:tc>
          <w:tcPr>
            <w:tcW w:w="1276" w:type="dxa"/>
          </w:tcPr>
          <w:p w:rsidR="007D25A5" w:rsidRPr="007D25A5" w:rsidRDefault="007D25A5" w:rsidP="00BA6981">
            <w:pPr>
              <w:widowControl w:val="0"/>
              <w:autoSpaceDE w:val="0"/>
              <w:autoSpaceDN w:val="0"/>
              <w:adjustRightInd w:val="0"/>
              <w:rPr>
                <w:rFonts w:ascii="Arial" w:hAnsi="Arial" w:cs="Arial"/>
                <w:sz w:val="24"/>
                <w:szCs w:val="24"/>
                <w:lang w:val="en-US"/>
              </w:rPr>
            </w:pPr>
            <w:r w:rsidRPr="007D25A5">
              <w:rPr>
                <w:rFonts w:ascii="Arial" w:hAnsi="Arial" w:cs="Arial"/>
                <w:sz w:val="24"/>
                <w:szCs w:val="24"/>
              </w:rPr>
              <w:t>In progress</w:t>
            </w:r>
          </w:p>
        </w:tc>
      </w:tr>
      <w:tr w:rsidR="007D25A5" w:rsidRPr="007D25A5" w:rsidTr="000C0226">
        <w:tc>
          <w:tcPr>
            <w:tcW w:w="3539" w:type="dxa"/>
          </w:tcPr>
          <w:p w:rsidR="00CB33E2" w:rsidRPr="007D25A5" w:rsidRDefault="00984DA1" w:rsidP="009C584B">
            <w:pPr>
              <w:rPr>
                <w:rFonts w:ascii="Arial" w:hAnsi="Arial" w:cs="Arial"/>
                <w:sz w:val="24"/>
                <w:szCs w:val="24"/>
              </w:rPr>
            </w:pPr>
            <w:r w:rsidRPr="007D25A5">
              <w:rPr>
                <w:rFonts w:ascii="Arial" w:hAnsi="Arial" w:cs="Arial"/>
                <w:sz w:val="24"/>
                <w:szCs w:val="24"/>
              </w:rPr>
              <w:t xml:space="preserve">Prevalence, types, and </w:t>
            </w:r>
            <w:r w:rsidR="00CB33E2" w:rsidRPr="007D25A5">
              <w:rPr>
                <w:rFonts w:ascii="Arial" w:hAnsi="Arial" w:cs="Arial"/>
                <w:sz w:val="24"/>
                <w:szCs w:val="24"/>
              </w:rPr>
              <w:t>associations of medically unexplained symptoms and signs</w:t>
            </w:r>
            <w:r w:rsidR="00AE29AD" w:rsidRPr="007D25A5">
              <w:rPr>
                <w:rFonts w:ascii="Arial" w:hAnsi="Arial" w:cs="Arial"/>
                <w:sz w:val="24"/>
                <w:szCs w:val="24"/>
              </w:rPr>
              <w:t xml:space="preserve"> in adults with learning disabilities</w:t>
            </w:r>
          </w:p>
          <w:p w:rsidR="00CB33E2" w:rsidRPr="007D25A5" w:rsidRDefault="00CB33E2" w:rsidP="009C584B">
            <w:pPr>
              <w:rPr>
                <w:rFonts w:ascii="Arial" w:hAnsi="Arial" w:cs="Arial"/>
                <w:sz w:val="24"/>
                <w:szCs w:val="24"/>
              </w:rPr>
            </w:pPr>
          </w:p>
          <w:p w:rsidR="00FF5939" w:rsidRPr="007D25A5" w:rsidRDefault="007D25A5" w:rsidP="009C584B">
            <w:pPr>
              <w:rPr>
                <w:rFonts w:ascii="Arial" w:hAnsi="Arial" w:cs="Arial"/>
                <w:sz w:val="24"/>
                <w:szCs w:val="24"/>
              </w:rPr>
            </w:pPr>
            <w:hyperlink r:id="rId15" w:history="1">
              <w:r w:rsidR="00FF5939" w:rsidRPr="007D25A5">
                <w:rPr>
                  <w:rStyle w:val="Hyperlink"/>
                  <w:rFonts w:ascii="Arial" w:hAnsi="Arial" w:cs="Arial"/>
                  <w:color w:val="auto"/>
                  <w:sz w:val="24"/>
                  <w:szCs w:val="24"/>
                </w:rPr>
                <w:t>https://www.</w:t>
              </w:r>
              <w:r w:rsidR="00FF5939" w:rsidRPr="007D25A5">
                <w:rPr>
                  <w:rStyle w:val="Hyperlink"/>
                  <w:rFonts w:ascii="Arial" w:hAnsi="Arial" w:cs="Arial"/>
                  <w:color w:val="auto"/>
                  <w:sz w:val="24"/>
                  <w:szCs w:val="24"/>
                </w:rPr>
                <w:t>s</w:t>
              </w:r>
              <w:r w:rsidR="00FF5939" w:rsidRPr="007D25A5">
                <w:rPr>
                  <w:rStyle w:val="Hyperlink"/>
                  <w:rFonts w:ascii="Arial" w:hAnsi="Arial" w:cs="Arial"/>
                  <w:color w:val="auto"/>
                  <w:sz w:val="24"/>
                  <w:szCs w:val="24"/>
                </w:rPr>
                <w:t>ldo.ac.uk/projects/health/physical-health/</w:t>
              </w:r>
            </w:hyperlink>
            <w:r w:rsidR="00FF5939" w:rsidRPr="007D25A5">
              <w:rPr>
                <w:rFonts w:ascii="Arial" w:hAnsi="Arial" w:cs="Arial"/>
                <w:sz w:val="24"/>
                <w:szCs w:val="24"/>
              </w:rPr>
              <w:t xml:space="preserve"> </w:t>
            </w:r>
          </w:p>
          <w:p w:rsidR="00FF5939" w:rsidRPr="007D25A5" w:rsidRDefault="00FF5939" w:rsidP="009C584B">
            <w:pPr>
              <w:rPr>
                <w:rFonts w:ascii="Arial" w:hAnsi="Arial" w:cs="Arial"/>
                <w:sz w:val="24"/>
                <w:szCs w:val="24"/>
              </w:rPr>
            </w:pPr>
          </w:p>
        </w:tc>
        <w:tc>
          <w:tcPr>
            <w:tcW w:w="2523" w:type="dxa"/>
          </w:tcPr>
          <w:p w:rsidR="00CB33E2" w:rsidRPr="007D25A5" w:rsidRDefault="00984DA1" w:rsidP="002D70DD">
            <w:pPr>
              <w:tabs>
                <w:tab w:val="left" w:pos="3168"/>
              </w:tabs>
              <w:rPr>
                <w:rFonts w:ascii="Arial" w:hAnsi="Arial" w:cs="Arial"/>
                <w:sz w:val="24"/>
                <w:szCs w:val="24"/>
              </w:rPr>
            </w:pPr>
            <w:r w:rsidRPr="007D25A5">
              <w:rPr>
                <w:rFonts w:ascii="Arial" w:hAnsi="Arial" w:cs="Arial"/>
                <w:sz w:val="24"/>
                <w:szCs w:val="24"/>
              </w:rPr>
              <w:t xml:space="preserve">Large cohort study of </w:t>
            </w:r>
            <w:r w:rsidR="00CB33E2" w:rsidRPr="007D25A5">
              <w:rPr>
                <w:rFonts w:ascii="Arial" w:hAnsi="Arial" w:cs="Arial"/>
                <w:sz w:val="24"/>
                <w:szCs w:val="24"/>
              </w:rPr>
              <w:t>1,023 adults with learning disabilities</w:t>
            </w:r>
          </w:p>
        </w:tc>
        <w:tc>
          <w:tcPr>
            <w:tcW w:w="7258" w:type="dxa"/>
          </w:tcPr>
          <w:p w:rsidR="00CB33E2" w:rsidRPr="007D25A5" w:rsidRDefault="00CB33E2" w:rsidP="002D70DD">
            <w:pPr>
              <w:tabs>
                <w:tab w:val="left" w:pos="3168"/>
              </w:tabs>
              <w:rPr>
                <w:rFonts w:ascii="Arial" w:hAnsi="Arial" w:cs="Arial"/>
                <w:sz w:val="24"/>
                <w:szCs w:val="24"/>
              </w:rPr>
            </w:pPr>
            <w:r w:rsidRPr="007D25A5">
              <w:rPr>
                <w:rFonts w:ascii="Arial" w:hAnsi="Arial" w:cs="Arial"/>
                <w:sz w:val="24"/>
                <w:szCs w:val="24"/>
              </w:rPr>
              <w:t>This study found that p</w:t>
            </w:r>
            <w:r w:rsidR="00AE29AD" w:rsidRPr="007D25A5">
              <w:rPr>
                <w:rFonts w:ascii="Arial" w:hAnsi="Arial" w:cs="Arial"/>
                <w:sz w:val="24"/>
                <w:szCs w:val="24"/>
              </w:rPr>
              <w:t>eople with learning</w:t>
            </w:r>
            <w:r w:rsidRPr="007D25A5">
              <w:rPr>
                <w:rFonts w:ascii="Arial" w:hAnsi="Arial" w:cs="Arial"/>
                <w:sz w:val="24"/>
                <w:szCs w:val="24"/>
              </w:rPr>
              <w:t xml:space="preserve"> disabilities have </w:t>
            </w:r>
            <w:r w:rsidR="00984DA1" w:rsidRPr="007D25A5">
              <w:rPr>
                <w:rFonts w:ascii="Arial" w:hAnsi="Arial" w:cs="Arial"/>
                <w:sz w:val="24"/>
                <w:szCs w:val="24"/>
              </w:rPr>
              <w:t xml:space="preserve">This </w:t>
            </w:r>
            <w:r w:rsidRPr="007D25A5">
              <w:rPr>
                <w:rFonts w:ascii="Arial" w:hAnsi="Arial" w:cs="Arial"/>
                <w:sz w:val="24"/>
                <w:szCs w:val="24"/>
              </w:rPr>
              <w:t xml:space="preserve">substantial additional unexplained symptoms and signs, some of which are painful or disabling. These findings can be used to develop the content </w:t>
            </w:r>
            <w:r w:rsidR="00AE29AD" w:rsidRPr="007D25A5">
              <w:rPr>
                <w:rFonts w:ascii="Arial" w:hAnsi="Arial" w:cs="Arial"/>
                <w:sz w:val="24"/>
                <w:szCs w:val="24"/>
              </w:rPr>
              <w:t>of health checks</w:t>
            </w:r>
            <w:r w:rsidRPr="007D25A5">
              <w:rPr>
                <w:rFonts w:ascii="Arial" w:hAnsi="Arial" w:cs="Arial"/>
                <w:sz w:val="24"/>
                <w:szCs w:val="24"/>
              </w:rPr>
              <w:t>, which should not just focus on management of long term conditions and health promotion</w:t>
            </w:r>
            <w:r w:rsidR="00AE29AD" w:rsidRPr="007D25A5">
              <w:rPr>
                <w:rFonts w:ascii="Arial" w:hAnsi="Arial" w:cs="Arial"/>
                <w:sz w:val="24"/>
                <w:szCs w:val="24"/>
              </w:rPr>
              <w:t xml:space="preserve"> (which has tended to be the focus in England)</w:t>
            </w:r>
            <w:r w:rsidRPr="007D25A5">
              <w:rPr>
                <w:rFonts w:ascii="Arial" w:hAnsi="Arial" w:cs="Arial"/>
                <w:sz w:val="24"/>
                <w:szCs w:val="24"/>
              </w:rPr>
              <w:t xml:space="preserve">.  </w:t>
            </w:r>
          </w:p>
          <w:p w:rsidR="00CB33E2" w:rsidRPr="007D25A5" w:rsidRDefault="00CB33E2" w:rsidP="002D70DD">
            <w:pPr>
              <w:tabs>
                <w:tab w:val="left" w:pos="3168"/>
              </w:tabs>
              <w:rPr>
                <w:rFonts w:ascii="Arial" w:hAnsi="Arial" w:cs="Arial"/>
                <w:sz w:val="24"/>
                <w:szCs w:val="24"/>
              </w:rPr>
            </w:pPr>
          </w:p>
        </w:tc>
        <w:tc>
          <w:tcPr>
            <w:tcW w:w="1276" w:type="dxa"/>
          </w:tcPr>
          <w:p w:rsidR="004E7934" w:rsidRPr="007D25A5" w:rsidRDefault="004E7934" w:rsidP="009C584B">
            <w:pPr>
              <w:tabs>
                <w:tab w:val="left" w:pos="3168"/>
              </w:tabs>
              <w:rPr>
                <w:rFonts w:ascii="Arial" w:hAnsi="Arial" w:cs="Arial"/>
                <w:sz w:val="24"/>
                <w:szCs w:val="24"/>
              </w:rPr>
            </w:pPr>
            <w:r w:rsidRPr="007D25A5">
              <w:rPr>
                <w:rFonts w:ascii="Arial" w:hAnsi="Arial" w:cs="Arial"/>
                <w:sz w:val="24"/>
                <w:szCs w:val="24"/>
              </w:rPr>
              <w:t>Dissemin-ating</w:t>
            </w:r>
          </w:p>
        </w:tc>
      </w:tr>
      <w:tr w:rsidR="007D25A5" w:rsidRPr="007D25A5" w:rsidTr="000C0226">
        <w:tc>
          <w:tcPr>
            <w:tcW w:w="3539" w:type="dxa"/>
          </w:tcPr>
          <w:p w:rsidR="00CB33E2" w:rsidRPr="007D25A5" w:rsidRDefault="00CB33E2" w:rsidP="009C584B">
            <w:pPr>
              <w:rPr>
                <w:rFonts w:ascii="Arial" w:hAnsi="Arial" w:cs="Arial"/>
                <w:sz w:val="24"/>
                <w:szCs w:val="24"/>
              </w:rPr>
            </w:pPr>
            <w:r w:rsidRPr="007D25A5">
              <w:rPr>
                <w:rFonts w:ascii="Arial" w:hAnsi="Arial" w:cs="Arial"/>
                <w:sz w:val="24"/>
                <w:szCs w:val="24"/>
              </w:rPr>
              <w:t>Oral health of adults with learning disabilities and its determinants</w:t>
            </w:r>
          </w:p>
          <w:p w:rsidR="00B666B1" w:rsidRPr="007D25A5" w:rsidRDefault="00B666B1" w:rsidP="009C584B">
            <w:pPr>
              <w:rPr>
                <w:rFonts w:ascii="Arial" w:hAnsi="Arial" w:cs="Arial"/>
                <w:sz w:val="24"/>
                <w:szCs w:val="24"/>
              </w:rPr>
            </w:pPr>
          </w:p>
          <w:p w:rsidR="00B666B1" w:rsidRPr="007D25A5" w:rsidRDefault="007D25A5" w:rsidP="009C584B">
            <w:pPr>
              <w:rPr>
                <w:rFonts w:ascii="Arial" w:hAnsi="Arial" w:cs="Arial"/>
                <w:sz w:val="24"/>
                <w:szCs w:val="24"/>
              </w:rPr>
            </w:pPr>
            <w:hyperlink r:id="rId16" w:history="1">
              <w:r w:rsidR="00B666B1" w:rsidRPr="007D25A5">
                <w:rPr>
                  <w:rStyle w:val="Hyperlink"/>
                  <w:rFonts w:ascii="Arial" w:hAnsi="Arial" w:cs="Arial"/>
                  <w:color w:val="auto"/>
                  <w:sz w:val="24"/>
                  <w:szCs w:val="24"/>
                </w:rPr>
                <w:t>https://www.sldo.ac.uk/projects/health/o</w:t>
              </w:r>
              <w:r w:rsidR="00B666B1" w:rsidRPr="007D25A5">
                <w:rPr>
                  <w:rStyle w:val="Hyperlink"/>
                  <w:rFonts w:ascii="Arial" w:hAnsi="Arial" w:cs="Arial"/>
                  <w:color w:val="auto"/>
                  <w:sz w:val="24"/>
                  <w:szCs w:val="24"/>
                </w:rPr>
                <w:t>r</w:t>
              </w:r>
              <w:r w:rsidR="00B666B1" w:rsidRPr="007D25A5">
                <w:rPr>
                  <w:rStyle w:val="Hyperlink"/>
                  <w:rFonts w:ascii="Arial" w:hAnsi="Arial" w:cs="Arial"/>
                  <w:color w:val="auto"/>
                  <w:sz w:val="24"/>
                  <w:szCs w:val="24"/>
                </w:rPr>
                <w:t>al-health/</w:t>
              </w:r>
            </w:hyperlink>
          </w:p>
          <w:p w:rsidR="00CB33E2" w:rsidRPr="007D25A5" w:rsidRDefault="00CB33E2" w:rsidP="009C584B">
            <w:pPr>
              <w:rPr>
                <w:rFonts w:ascii="Arial" w:hAnsi="Arial" w:cs="Arial"/>
                <w:sz w:val="24"/>
                <w:szCs w:val="24"/>
              </w:rPr>
            </w:pPr>
          </w:p>
        </w:tc>
        <w:tc>
          <w:tcPr>
            <w:tcW w:w="2523" w:type="dxa"/>
          </w:tcPr>
          <w:p w:rsidR="00CB33E2" w:rsidRPr="007D25A5" w:rsidRDefault="00CB33E2" w:rsidP="002D70DD">
            <w:pPr>
              <w:tabs>
                <w:tab w:val="left" w:pos="3168"/>
              </w:tabs>
              <w:rPr>
                <w:rFonts w:ascii="Arial" w:hAnsi="Arial" w:cs="Arial"/>
                <w:sz w:val="24"/>
                <w:szCs w:val="24"/>
              </w:rPr>
            </w:pPr>
            <w:r w:rsidRPr="007D25A5">
              <w:rPr>
                <w:rFonts w:ascii="Arial" w:hAnsi="Arial" w:cs="Arial"/>
                <w:sz w:val="24"/>
                <w:szCs w:val="24"/>
              </w:rPr>
              <w:t>Large, longitudinal cohort study of adults with learning disabilities</w:t>
            </w:r>
          </w:p>
        </w:tc>
        <w:tc>
          <w:tcPr>
            <w:tcW w:w="7258" w:type="dxa"/>
          </w:tcPr>
          <w:p w:rsidR="00CB33E2" w:rsidRPr="007D25A5" w:rsidRDefault="00CB33E2" w:rsidP="00A47A9D">
            <w:pPr>
              <w:tabs>
                <w:tab w:val="left" w:pos="3168"/>
              </w:tabs>
              <w:rPr>
                <w:rFonts w:ascii="Arial" w:hAnsi="Arial" w:cs="Arial"/>
                <w:sz w:val="24"/>
                <w:szCs w:val="24"/>
              </w:rPr>
            </w:pPr>
            <w:r w:rsidRPr="007D25A5">
              <w:rPr>
                <w:rFonts w:ascii="Arial" w:hAnsi="Arial" w:cs="Arial"/>
                <w:sz w:val="24"/>
                <w:szCs w:val="24"/>
              </w:rPr>
              <w:t>We found very poor oral health in this population, and high levels of toothlessness. Oral problems are painful, impede eating and nutrition,</w:t>
            </w:r>
            <w:r w:rsidR="00AE29AD" w:rsidRPr="007D25A5">
              <w:rPr>
                <w:rFonts w:ascii="Arial" w:hAnsi="Arial" w:cs="Arial"/>
                <w:sz w:val="24"/>
                <w:szCs w:val="24"/>
              </w:rPr>
              <w:t xml:space="preserve"> and</w:t>
            </w:r>
            <w:r w:rsidRPr="007D25A5">
              <w:rPr>
                <w:rFonts w:ascii="Arial" w:hAnsi="Arial" w:cs="Arial"/>
                <w:sz w:val="24"/>
                <w:szCs w:val="24"/>
              </w:rPr>
              <w:t xml:space="preserve"> impact on quality of life. We are investigating the causes of this, which appear to be more</w:t>
            </w:r>
            <w:r w:rsidR="00AE29AD" w:rsidRPr="007D25A5">
              <w:rPr>
                <w:rFonts w:ascii="Arial" w:hAnsi="Arial" w:cs="Arial"/>
                <w:sz w:val="24"/>
                <w:szCs w:val="24"/>
              </w:rPr>
              <w:t xml:space="preserve"> complex than just </w:t>
            </w:r>
            <w:r w:rsidRPr="007D25A5">
              <w:rPr>
                <w:rFonts w:ascii="Arial" w:hAnsi="Arial" w:cs="Arial"/>
                <w:sz w:val="24"/>
                <w:szCs w:val="24"/>
              </w:rPr>
              <w:t xml:space="preserve">poor daily care and access to services for check-ups and treatment. </w:t>
            </w:r>
          </w:p>
          <w:p w:rsidR="00CB33E2" w:rsidRPr="007D25A5" w:rsidRDefault="00CB33E2" w:rsidP="00A47A9D">
            <w:pPr>
              <w:tabs>
                <w:tab w:val="left" w:pos="3168"/>
              </w:tabs>
              <w:rPr>
                <w:rFonts w:ascii="Arial" w:hAnsi="Arial" w:cs="Arial"/>
                <w:sz w:val="24"/>
                <w:szCs w:val="24"/>
              </w:rPr>
            </w:pPr>
          </w:p>
        </w:tc>
        <w:tc>
          <w:tcPr>
            <w:tcW w:w="1276" w:type="dxa"/>
          </w:tcPr>
          <w:p w:rsidR="00CB33E2" w:rsidRPr="007D25A5" w:rsidRDefault="004E7934" w:rsidP="00A47A9D">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0B5403">
            <w:pPr>
              <w:rPr>
                <w:rFonts w:ascii="Arial" w:hAnsi="Arial" w:cs="Arial"/>
                <w:sz w:val="24"/>
                <w:szCs w:val="24"/>
              </w:rPr>
            </w:pPr>
            <w:r w:rsidRPr="007D25A5">
              <w:rPr>
                <w:rFonts w:ascii="Arial" w:hAnsi="Arial" w:cs="Arial"/>
                <w:sz w:val="24"/>
                <w:szCs w:val="24"/>
              </w:rPr>
              <w:t xml:space="preserve">Understanding the levels and inter-relationships of dental and medical complexity in adults </w:t>
            </w:r>
            <w:r w:rsidR="00AE29AD" w:rsidRPr="007D25A5">
              <w:rPr>
                <w:rFonts w:ascii="Arial" w:hAnsi="Arial" w:cs="Arial"/>
                <w:sz w:val="24"/>
                <w:szCs w:val="24"/>
              </w:rPr>
              <w:t>with learning</w:t>
            </w:r>
            <w:r w:rsidRPr="007D25A5">
              <w:rPr>
                <w:rFonts w:ascii="Arial" w:hAnsi="Arial" w:cs="Arial"/>
                <w:sz w:val="24"/>
                <w:szCs w:val="24"/>
              </w:rPr>
              <w:t xml:space="preserve"> disabilities</w:t>
            </w:r>
          </w:p>
          <w:p w:rsidR="00693361" w:rsidRPr="007D25A5" w:rsidRDefault="00693361" w:rsidP="000B5403">
            <w:pPr>
              <w:rPr>
                <w:rFonts w:ascii="Arial" w:hAnsi="Arial" w:cs="Arial"/>
                <w:sz w:val="24"/>
                <w:szCs w:val="24"/>
              </w:rPr>
            </w:pPr>
          </w:p>
          <w:p w:rsidR="00693361" w:rsidRPr="007D25A5" w:rsidRDefault="007D25A5" w:rsidP="000B5403">
            <w:pPr>
              <w:rPr>
                <w:rFonts w:ascii="Arial" w:hAnsi="Arial" w:cs="Arial"/>
                <w:sz w:val="24"/>
                <w:szCs w:val="24"/>
              </w:rPr>
            </w:pPr>
            <w:hyperlink r:id="rId17" w:history="1">
              <w:r w:rsidR="00693361" w:rsidRPr="007D25A5">
                <w:rPr>
                  <w:rStyle w:val="Hyperlink"/>
                  <w:rFonts w:ascii="Arial" w:hAnsi="Arial" w:cs="Arial"/>
                  <w:color w:val="auto"/>
                  <w:sz w:val="24"/>
                  <w:szCs w:val="24"/>
                </w:rPr>
                <w:t>https:/</w:t>
              </w:r>
              <w:r w:rsidR="00693361" w:rsidRPr="007D25A5">
                <w:rPr>
                  <w:rStyle w:val="Hyperlink"/>
                  <w:rFonts w:ascii="Arial" w:hAnsi="Arial" w:cs="Arial"/>
                  <w:color w:val="auto"/>
                  <w:sz w:val="24"/>
                  <w:szCs w:val="24"/>
                </w:rPr>
                <w:t>/</w:t>
              </w:r>
              <w:r w:rsidR="00693361" w:rsidRPr="007D25A5">
                <w:rPr>
                  <w:rStyle w:val="Hyperlink"/>
                  <w:rFonts w:ascii="Arial" w:hAnsi="Arial" w:cs="Arial"/>
                  <w:color w:val="auto"/>
                  <w:sz w:val="24"/>
                  <w:szCs w:val="24"/>
                </w:rPr>
                <w:t>www.sldo.ac.uk/projects/health/oral-health/</w:t>
              </w:r>
            </w:hyperlink>
          </w:p>
        </w:tc>
        <w:tc>
          <w:tcPr>
            <w:tcW w:w="2523" w:type="dxa"/>
          </w:tcPr>
          <w:p w:rsidR="00CB33E2" w:rsidRPr="007D25A5" w:rsidRDefault="00CB33E2" w:rsidP="00AE29AD">
            <w:pPr>
              <w:rPr>
                <w:rFonts w:ascii="Arial" w:hAnsi="Arial" w:cs="Arial"/>
                <w:sz w:val="24"/>
                <w:szCs w:val="24"/>
              </w:rPr>
            </w:pPr>
            <w:r w:rsidRPr="007D25A5">
              <w:rPr>
                <w:rFonts w:ascii="Arial" w:hAnsi="Arial" w:cs="Arial"/>
                <w:sz w:val="24"/>
                <w:szCs w:val="24"/>
              </w:rPr>
              <w:t>Secondary analysis and record linkage using LES records, Management Information &amp; Dental Accounting system, and Prescribing Information System in 4,000 adults with learning disabilities</w:t>
            </w:r>
          </w:p>
          <w:p w:rsidR="004C5E09" w:rsidRPr="007D25A5" w:rsidRDefault="004C5E09" w:rsidP="00AE29AD">
            <w:pPr>
              <w:rPr>
                <w:rFonts w:ascii="Arial" w:hAnsi="Arial" w:cs="Arial"/>
                <w:sz w:val="24"/>
                <w:szCs w:val="24"/>
              </w:rPr>
            </w:pPr>
          </w:p>
          <w:p w:rsidR="00AE29AD" w:rsidRPr="007D25A5" w:rsidRDefault="00AE29AD" w:rsidP="00AE29AD">
            <w:pPr>
              <w:rPr>
                <w:rFonts w:ascii="Arial" w:hAnsi="Arial" w:cs="Arial"/>
                <w:sz w:val="24"/>
                <w:szCs w:val="24"/>
              </w:rPr>
            </w:pPr>
          </w:p>
        </w:tc>
        <w:tc>
          <w:tcPr>
            <w:tcW w:w="7258" w:type="dxa"/>
          </w:tcPr>
          <w:p w:rsidR="00CB33E2" w:rsidRPr="007D25A5" w:rsidRDefault="00CB33E2" w:rsidP="009C584B">
            <w:pPr>
              <w:tabs>
                <w:tab w:val="left" w:pos="3168"/>
              </w:tabs>
              <w:rPr>
                <w:rFonts w:ascii="Arial" w:hAnsi="Arial" w:cs="Arial"/>
                <w:sz w:val="24"/>
                <w:szCs w:val="24"/>
              </w:rPr>
            </w:pPr>
            <w:r w:rsidRPr="007D25A5">
              <w:rPr>
                <w:rFonts w:ascii="Arial" w:hAnsi="Arial" w:cs="Arial"/>
                <w:sz w:val="24"/>
                <w:szCs w:val="24"/>
              </w:rPr>
              <w:t xml:space="preserve">We will study the role of anticholinergic burden and sugared liquid medicines in oral health problems. There is thought to be over-prescribing of drugs with these effects in people with learning disabilities (e.g. antipsychotic drugs), and lack of awareness of dental consequences in prescribers. If relationships are found, this will give further evidence to prescribers to avoid unnecessary repeat prescriptions, and to carers for extra vigilance in supporting oral hygiene in this group. </w:t>
            </w:r>
          </w:p>
        </w:tc>
        <w:tc>
          <w:tcPr>
            <w:tcW w:w="1276" w:type="dxa"/>
          </w:tcPr>
          <w:p w:rsidR="00CB33E2" w:rsidRPr="007D25A5" w:rsidRDefault="004E7934" w:rsidP="009C584B">
            <w:pPr>
              <w:tabs>
                <w:tab w:val="left" w:pos="3168"/>
              </w:tabs>
              <w:rPr>
                <w:rFonts w:ascii="Arial" w:hAnsi="Arial" w:cs="Arial"/>
                <w:sz w:val="24"/>
                <w:szCs w:val="24"/>
              </w:rPr>
            </w:pPr>
            <w:r w:rsidRPr="007D25A5">
              <w:rPr>
                <w:rFonts w:ascii="Arial" w:hAnsi="Arial" w:cs="Arial"/>
                <w:sz w:val="24"/>
                <w:szCs w:val="24"/>
              </w:rPr>
              <w:t>Approval sought</w:t>
            </w:r>
          </w:p>
        </w:tc>
      </w:tr>
      <w:tr w:rsidR="007D25A5" w:rsidRPr="007D25A5" w:rsidTr="000C0226">
        <w:tc>
          <w:tcPr>
            <w:tcW w:w="3539" w:type="dxa"/>
          </w:tcPr>
          <w:p w:rsidR="00AE29AD" w:rsidRPr="007D25A5" w:rsidRDefault="00AE29AD" w:rsidP="00AE29AD">
            <w:pPr>
              <w:rPr>
                <w:rFonts w:ascii="Arial" w:hAnsi="Arial" w:cs="Arial"/>
                <w:sz w:val="24"/>
                <w:szCs w:val="24"/>
              </w:rPr>
            </w:pPr>
            <w:r w:rsidRPr="007D25A5">
              <w:rPr>
                <w:rFonts w:ascii="Arial" w:hAnsi="Arial" w:cs="Arial"/>
                <w:sz w:val="24"/>
                <w:szCs w:val="24"/>
              </w:rPr>
              <w:t xml:space="preserve">A decade of psychotropic prescribing </w:t>
            </w:r>
            <w:r w:rsidR="003F6CD9" w:rsidRPr="007D25A5">
              <w:rPr>
                <w:rFonts w:ascii="Arial" w:hAnsi="Arial" w:cs="Arial"/>
                <w:sz w:val="24"/>
                <w:szCs w:val="24"/>
              </w:rPr>
              <w:t xml:space="preserve">for adults with learning disabilities </w:t>
            </w:r>
            <w:r w:rsidRPr="007D25A5">
              <w:rPr>
                <w:rFonts w:ascii="Arial" w:hAnsi="Arial" w:cs="Arial"/>
                <w:sz w:val="24"/>
                <w:szCs w:val="24"/>
              </w:rPr>
              <w:t xml:space="preserve"> </w:t>
            </w:r>
          </w:p>
          <w:p w:rsidR="00AE29AD" w:rsidRPr="007D25A5" w:rsidRDefault="00AE29AD" w:rsidP="00AE29AD">
            <w:pPr>
              <w:rPr>
                <w:rFonts w:ascii="Arial" w:hAnsi="Arial" w:cs="Arial"/>
                <w:sz w:val="24"/>
                <w:szCs w:val="24"/>
              </w:rPr>
            </w:pPr>
          </w:p>
          <w:p w:rsidR="00AE29AD" w:rsidRPr="007D25A5" w:rsidRDefault="007D25A5" w:rsidP="00AE29AD">
            <w:pPr>
              <w:rPr>
                <w:rFonts w:ascii="Arial" w:hAnsi="Arial" w:cs="Arial"/>
                <w:sz w:val="24"/>
                <w:szCs w:val="24"/>
              </w:rPr>
            </w:pPr>
            <w:hyperlink r:id="rId18" w:history="1">
              <w:r w:rsidR="00AE29AD" w:rsidRPr="007D25A5">
                <w:rPr>
                  <w:rStyle w:val="Hyperlink"/>
                  <w:rFonts w:ascii="Arial" w:hAnsi="Arial" w:cs="Arial"/>
                  <w:color w:val="auto"/>
                  <w:sz w:val="24"/>
                  <w:szCs w:val="24"/>
                </w:rPr>
                <w:t>https://www.sldo.ac.uk/projects/healt</w:t>
              </w:r>
              <w:r w:rsidR="00AE29AD" w:rsidRPr="007D25A5">
                <w:rPr>
                  <w:rStyle w:val="Hyperlink"/>
                  <w:rFonts w:ascii="Arial" w:hAnsi="Arial" w:cs="Arial"/>
                  <w:color w:val="auto"/>
                  <w:sz w:val="24"/>
                  <w:szCs w:val="24"/>
                </w:rPr>
                <w:t>h</w:t>
              </w:r>
              <w:r w:rsidR="00AE29AD" w:rsidRPr="007D25A5">
                <w:rPr>
                  <w:rStyle w:val="Hyperlink"/>
                  <w:rFonts w:ascii="Arial" w:hAnsi="Arial" w:cs="Arial"/>
                  <w:color w:val="auto"/>
                  <w:sz w:val="24"/>
                  <w:szCs w:val="24"/>
                </w:rPr>
                <w:t>/psychotropic-</w:t>
              </w:r>
              <w:r w:rsidR="00AE29AD" w:rsidRPr="007D25A5">
                <w:rPr>
                  <w:rStyle w:val="Hyperlink"/>
                  <w:rFonts w:ascii="Arial" w:hAnsi="Arial" w:cs="Arial"/>
                  <w:color w:val="auto"/>
                  <w:sz w:val="24"/>
                  <w:szCs w:val="24"/>
                </w:rPr>
                <w:lastRenderedPageBreak/>
                <w:t>prescribing/</w:t>
              </w:r>
            </w:hyperlink>
            <w:r w:rsidR="00AE29AD" w:rsidRPr="007D25A5">
              <w:rPr>
                <w:rFonts w:ascii="Arial" w:hAnsi="Arial" w:cs="Arial"/>
                <w:sz w:val="24"/>
                <w:szCs w:val="24"/>
              </w:rPr>
              <w:t xml:space="preserve"> </w:t>
            </w:r>
          </w:p>
          <w:p w:rsidR="00CB33E2" w:rsidRPr="007D25A5" w:rsidRDefault="00CB33E2" w:rsidP="00AE29AD">
            <w:pPr>
              <w:rPr>
                <w:rFonts w:ascii="Arial" w:hAnsi="Arial" w:cs="Arial"/>
                <w:sz w:val="24"/>
                <w:szCs w:val="24"/>
              </w:rPr>
            </w:pPr>
          </w:p>
        </w:tc>
        <w:tc>
          <w:tcPr>
            <w:tcW w:w="2523" w:type="dxa"/>
          </w:tcPr>
          <w:p w:rsidR="00CB33E2" w:rsidRPr="007D25A5" w:rsidRDefault="00AE29AD" w:rsidP="007B32AC">
            <w:pPr>
              <w:tabs>
                <w:tab w:val="left" w:pos="3168"/>
              </w:tabs>
              <w:rPr>
                <w:rFonts w:ascii="Arial" w:hAnsi="Arial" w:cs="Arial"/>
                <w:sz w:val="24"/>
                <w:szCs w:val="24"/>
              </w:rPr>
            </w:pPr>
            <w:r w:rsidRPr="007D25A5">
              <w:rPr>
                <w:rFonts w:ascii="Arial" w:hAnsi="Arial" w:cs="Arial"/>
                <w:sz w:val="24"/>
                <w:szCs w:val="24"/>
              </w:rPr>
              <w:lastRenderedPageBreak/>
              <w:t xml:space="preserve">Analysis of trends in psychotropic prescribing over 10 years in a large cohort of adults with learning disabilities, </w:t>
            </w:r>
            <w:r w:rsidRPr="007D25A5">
              <w:rPr>
                <w:rFonts w:ascii="Arial" w:hAnsi="Arial" w:cs="Arial"/>
                <w:sz w:val="24"/>
                <w:szCs w:val="24"/>
              </w:rPr>
              <w:lastRenderedPageBreak/>
              <w:t>with record linkage to Prescribing Information System and GP clinical data</w:t>
            </w:r>
          </w:p>
        </w:tc>
        <w:tc>
          <w:tcPr>
            <w:tcW w:w="7258" w:type="dxa"/>
          </w:tcPr>
          <w:p w:rsidR="00370A7F" w:rsidRPr="007D25A5" w:rsidRDefault="00AE29AD" w:rsidP="00F96A99">
            <w:pPr>
              <w:tabs>
                <w:tab w:val="left" w:pos="3168"/>
              </w:tabs>
              <w:rPr>
                <w:rFonts w:ascii="Arial" w:hAnsi="Arial" w:cs="Arial"/>
                <w:sz w:val="24"/>
                <w:szCs w:val="24"/>
              </w:rPr>
            </w:pPr>
            <w:r w:rsidRPr="007D25A5">
              <w:rPr>
                <w:rFonts w:ascii="Arial" w:hAnsi="Arial" w:cs="Arial"/>
                <w:sz w:val="24"/>
                <w:szCs w:val="24"/>
              </w:rPr>
              <w:lastRenderedPageBreak/>
              <w:t>People with learning disabilities a</w:t>
            </w:r>
            <w:r w:rsidR="00F96A99" w:rsidRPr="007D25A5">
              <w:rPr>
                <w:rFonts w:ascii="Arial" w:hAnsi="Arial" w:cs="Arial"/>
                <w:sz w:val="24"/>
                <w:szCs w:val="24"/>
              </w:rPr>
              <w:t>re prescribed antipsychotic</w:t>
            </w:r>
            <w:r w:rsidRPr="007D25A5">
              <w:rPr>
                <w:rFonts w:ascii="Arial" w:hAnsi="Arial" w:cs="Arial"/>
                <w:sz w:val="24"/>
                <w:szCs w:val="24"/>
              </w:rPr>
              <w:t xml:space="preserve">s at rates higher than reported rates of mental ill-health. These drugs can have significant health side-effects, including sudden death; NICE guidelines recommend that their use is regularly reviewed and reduced. Preliminary results from this study suggest a slight decline in antipsychotic prescribing (most recent data still under </w:t>
            </w:r>
            <w:r w:rsidRPr="007D25A5">
              <w:rPr>
                <w:rFonts w:ascii="Arial" w:hAnsi="Arial" w:cs="Arial"/>
                <w:sz w:val="24"/>
                <w:szCs w:val="24"/>
              </w:rPr>
              <w:lastRenderedPageBreak/>
              <w:t xml:space="preserve">analysis), with a marked increase in antidepressant prescribing. Supporting appropriate prescribing is aligned with the strategic direction of </w:t>
            </w:r>
            <w:r w:rsidRPr="007D25A5">
              <w:rPr>
                <w:rFonts w:ascii="Arial" w:hAnsi="Arial" w:cs="Arial"/>
                <w:i/>
                <w:sz w:val="24"/>
                <w:szCs w:val="24"/>
              </w:rPr>
              <w:t xml:space="preserve">The Keys To Life. </w:t>
            </w:r>
            <w:r w:rsidRPr="007D25A5">
              <w:rPr>
                <w:rFonts w:ascii="Arial" w:hAnsi="Arial" w:cs="Arial"/>
                <w:sz w:val="24"/>
                <w:szCs w:val="24"/>
              </w:rPr>
              <w:t>This study will feedback trends to prescribers, helping them to meet good practice targets.</w:t>
            </w:r>
          </w:p>
          <w:p w:rsidR="00370A7F" w:rsidRPr="007D25A5" w:rsidRDefault="00370A7F" w:rsidP="00F96A99">
            <w:pPr>
              <w:tabs>
                <w:tab w:val="left" w:pos="3168"/>
              </w:tabs>
              <w:rPr>
                <w:rFonts w:ascii="Arial" w:hAnsi="Arial" w:cs="Arial"/>
                <w:sz w:val="24"/>
                <w:szCs w:val="24"/>
              </w:rPr>
            </w:pPr>
          </w:p>
        </w:tc>
        <w:tc>
          <w:tcPr>
            <w:tcW w:w="1276" w:type="dxa"/>
          </w:tcPr>
          <w:p w:rsidR="00CB33E2" w:rsidRPr="007D25A5" w:rsidRDefault="00AE29AD" w:rsidP="00A47A9D">
            <w:pPr>
              <w:tabs>
                <w:tab w:val="left" w:pos="3168"/>
              </w:tabs>
              <w:rPr>
                <w:rFonts w:ascii="Arial" w:hAnsi="Arial" w:cs="Arial"/>
                <w:sz w:val="24"/>
                <w:szCs w:val="24"/>
              </w:rPr>
            </w:pPr>
            <w:r w:rsidRPr="007D25A5">
              <w:rPr>
                <w:rFonts w:ascii="Arial" w:hAnsi="Arial" w:cs="Arial"/>
                <w:sz w:val="24"/>
                <w:szCs w:val="24"/>
              </w:rPr>
              <w:lastRenderedPageBreak/>
              <w:t>In progress</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Prescribing trends in children and young people with learning disabilities, and in children and young people with autism</w:t>
            </w:r>
          </w:p>
          <w:p w:rsidR="00155BB8" w:rsidRPr="007D25A5" w:rsidRDefault="00155BB8" w:rsidP="00FC542A">
            <w:pPr>
              <w:spacing w:line="280" w:lineRule="exact"/>
              <w:rPr>
                <w:rFonts w:ascii="Arial" w:hAnsi="Arial" w:cs="Arial"/>
                <w:sz w:val="24"/>
                <w:szCs w:val="24"/>
              </w:rPr>
            </w:pPr>
          </w:p>
          <w:p w:rsidR="00155BB8" w:rsidRPr="007D25A5" w:rsidRDefault="007D25A5" w:rsidP="00031FAB">
            <w:pPr>
              <w:spacing w:line="280" w:lineRule="exact"/>
              <w:rPr>
                <w:rFonts w:ascii="Arial" w:hAnsi="Arial" w:cs="Arial"/>
                <w:sz w:val="24"/>
                <w:szCs w:val="24"/>
              </w:rPr>
            </w:pPr>
            <w:hyperlink r:id="rId19" w:history="1">
              <w:r w:rsidR="00031FAB" w:rsidRPr="007D25A5">
                <w:rPr>
                  <w:rStyle w:val="Hyperlink"/>
                  <w:rFonts w:ascii="Arial" w:hAnsi="Arial" w:cs="Arial"/>
                  <w:color w:val="auto"/>
                  <w:sz w:val="24"/>
                  <w:szCs w:val="24"/>
                </w:rPr>
                <w:t>https://ww</w:t>
              </w:r>
              <w:r w:rsidR="00031FAB" w:rsidRPr="007D25A5">
                <w:rPr>
                  <w:rStyle w:val="Hyperlink"/>
                  <w:rFonts w:ascii="Arial" w:hAnsi="Arial" w:cs="Arial"/>
                  <w:color w:val="auto"/>
                  <w:sz w:val="24"/>
                  <w:szCs w:val="24"/>
                </w:rPr>
                <w:t>w</w:t>
              </w:r>
              <w:r w:rsidR="00031FAB" w:rsidRPr="007D25A5">
                <w:rPr>
                  <w:rStyle w:val="Hyperlink"/>
                  <w:rFonts w:ascii="Arial" w:hAnsi="Arial" w:cs="Arial"/>
                  <w:color w:val="auto"/>
                  <w:sz w:val="24"/>
                  <w:szCs w:val="24"/>
                </w:rPr>
                <w:t>.sldo.ac.uk/projects/health/psychotropic-prescribing/</w:t>
              </w:r>
            </w:hyperlink>
          </w:p>
          <w:p w:rsidR="00031FAB" w:rsidRPr="007D25A5" w:rsidRDefault="00031FAB" w:rsidP="00031FAB">
            <w:pPr>
              <w:spacing w:line="280" w:lineRule="exact"/>
              <w:rPr>
                <w:rFonts w:ascii="Arial" w:hAnsi="Arial" w:cs="Arial"/>
                <w:sz w:val="24"/>
                <w:szCs w:val="24"/>
              </w:rPr>
            </w:pPr>
          </w:p>
        </w:tc>
        <w:tc>
          <w:tcPr>
            <w:tcW w:w="2523"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Record linkage of Scotland’s Pupil Census with Scottish Morbidity Record 01 and Prescribing Information System</w:t>
            </w:r>
          </w:p>
          <w:p w:rsidR="007A1D9C" w:rsidRPr="007D25A5" w:rsidRDefault="007A1D9C" w:rsidP="007B32AC">
            <w:pPr>
              <w:tabs>
                <w:tab w:val="left" w:pos="3168"/>
              </w:tabs>
              <w:rPr>
                <w:rFonts w:ascii="Arial" w:hAnsi="Arial" w:cs="Arial"/>
                <w:sz w:val="24"/>
                <w:szCs w:val="24"/>
              </w:rPr>
            </w:pPr>
          </w:p>
        </w:tc>
        <w:tc>
          <w:tcPr>
            <w:tcW w:w="7258" w:type="dxa"/>
          </w:tcPr>
          <w:p w:rsidR="00CB33E2" w:rsidRPr="007D25A5" w:rsidRDefault="00CB33E2" w:rsidP="000B35FC">
            <w:pPr>
              <w:tabs>
                <w:tab w:val="left" w:pos="3168"/>
              </w:tabs>
              <w:rPr>
                <w:rFonts w:ascii="Arial" w:hAnsi="Arial" w:cs="Arial"/>
                <w:sz w:val="24"/>
                <w:szCs w:val="24"/>
              </w:rPr>
            </w:pPr>
            <w:r w:rsidRPr="007D25A5">
              <w:rPr>
                <w:rFonts w:ascii="Arial" w:hAnsi="Arial" w:cs="Arial"/>
                <w:sz w:val="24"/>
                <w:szCs w:val="24"/>
              </w:rPr>
              <w:t>This study will find out if antipsychotic prescribing is increasing over time for these groups, and the variability of this across Scotland. This will enable good practice recommendations and targeted actions to be made for prescribers.</w:t>
            </w:r>
          </w:p>
        </w:tc>
        <w:tc>
          <w:tcPr>
            <w:tcW w:w="1276" w:type="dxa"/>
          </w:tcPr>
          <w:p w:rsidR="00CB33E2" w:rsidRPr="007D25A5" w:rsidRDefault="007D0B6B" w:rsidP="000B35FC">
            <w:pPr>
              <w:tabs>
                <w:tab w:val="left" w:pos="3168"/>
              </w:tabs>
              <w:rPr>
                <w:rFonts w:ascii="Arial" w:hAnsi="Arial" w:cs="Arial"/>
                <w:sz w:val="24"/>
                <w:szCs w:val="24"/>
              </w:rPr>
            </w:pPr>
            <w:r w:rsidRPr="007D25A5">
              <w:rPr>
                <w:rFonts w:ascii="Arial" w:hAnsi="Arial" w:cs="Arial"/>
                <w:sz w:val="24"/>
                <w:szCs w:val="24"/>
              </w:rPr>
              <w:t>Approval being</w:t>
            </w:r>
            <w:r w:rsidR="004E7934" w:rsidRPr="007D25A5">
              <w:rPr>
                <w:rFonts w:ascii="Arial" w:hAnsi="Arial" w:cs="Arial"/>
                <w:sz w:val="24"/>
                <w:szCs w:val="24"/>
              </w:rPr>
              <w:t xml:space="preserve"> sought</w:t>
            </w:r>
          </w:p>
        </w:tc>
      </w:tr>
      <w:tr w:rsidR="007D25A5" w:rsidRPr="007D25A5" w:rsidTr="000C0226">
        <w:tc>
          <w:tcPr>
            <w:tcW w:w="3539" w:type="dxa"/>
          </w:tcPr>
          <w:p w:rsidR="00AE29AD" w:rsidRPr="007D25A5" w:rsidRDefault="00AE29AD" w:rsidP="00AE29AD">
            <w:pPr>
              <w:spacing w:line="280" w:lineRule="exact"/>
              <w:rPr>
                <w:rFonts w:ascii="Arial" w:hAnsi="Arial" w:cs="Arial"/>
                <w:sz w:val="24"/>
                <w:szCs w:val="24"/>
              </w:rPr>
            </w:pPr>
            <w:r w:rsidRPr="007D25A5">
              <w:rPr>
                <w:rFonts w:ascii="Arial" w:hAnsi="Arial" w:cs="Arial"/>
                <w:sz w:val="24"/>
                <w:szCs w:val="24"/>
              </w:rPr>
              <w:t>Children and young people with learning disabilities and children and young people with autism in Scottish schools</w:t>
            </w:r>
          </w:p>
          <w:p w:rsidR="00AE29AD" w:rsidRPr="007D25A5" w:rsidRDefault="00AE29AD" w:rsidP="00AE29AD">
            <w:pPr>
              <w:rPr>
                <w:rFonts w:ascii="Arial" w:hAnsi="Arial" w:cs="Arial"/>
                <w:sz w:val="24"/>
                <w:szCs w:val="24"/>
              </w:rPr>
            </w:pPr>
          </w:p>
          <w:p w:rsidR="00AE29AD" w:rsidRPr="007D25A5" w:rsidRDefault="007D25A5" w:rsidP="00AE29AD">
            <w:pPr>
              <w:spacing w:line="280" w:lineRule="exact"/>
              <w:rPr>
                <w:rStyle w:val="Hyperlink"/>
                <w:rFonts w:ascii="Arial" w:hAnsi="Arial" w:cs="Arial"/>
                <w:color w:val="auto"/>
                <w:sz w:val="24"/>
                <w:szCs w:val="24"/>
              </w:rPr>
            </w:pPr>
            <w:hyperlink r:id="rId20" w:history="1">
              <w:r w:rsidR="00AE29AD" w:rsidRPr="007D25A5">
                <w:rPr>
                  <w:rStyle w:val="Hyperlink"/>
                  <w:rFonts w:ascii="Arial" w:hAnsi="Arial" w:cs="Arial"/>
                  <w:color w:val="auto"/>
                  <w:sz w:val="24"/>
                  <w:szCs w:val="24"/>
                </w:rPr>
                <w:t>http</w:t>
              </w:r>
              <w:r w:rsidR="00AE29AD" w:rsidRPr="007D25A5">
                <w:rPr>
                  <w:rStyle w:val="Hyperlink"/>
                  <w:rFonts w:ascii="Arial" w:hAnsi="Arial" w:cs="Arial"/>
                  <w:color w:val="auto"/>
                  <w:sz w:val="24"/>
                  <w:szCs w:val="24"/>
                </w:rPr>
                <w:t>s</w:t>
              </w:r>
              <w:r w:rsidR="00AE29AD" w:rsidRPr="007D25A5">
                <w:rPr>
                  <w:rStyle w:val="Hyperlink"/>
                  <w:rFonts w:ascii="Arial" w:hAnsi="Arial" w:cs="Arial"/>
                  <w:color w:val="auto"/>
                  <w:sz w:val="24"/>
                  <w:szCs w:val="24"/>
                </w:rPr>
                <w:t>://www.sldo.ac.uk/projects/children-young-people/pupil-census/</w:t>
              </w:r>
            </w:hyperlink>
          </w:p>
          <w:p w:rsidR="00F96A99" w:rsidRPr="007D25A5" w:rsidRDefault="00F96A99" w:rsidP="00AE29AD">
            <w:pPr>
              <w:spacing w:line="280" w:lineRule="exact"/>
              <w:rPr>
                <w:rFonts w:ascii="Arial" w:hAnsi="Arial" w:cs="Arial"/>
                <w:sz w:val="24"/>
                <w:szCs w:val="24"/>
              </w:rPr>
            </w:pPr>
          </w:p>
        </w:tc>
        <w:tc>
          <w:tcPr>
            <w:tcW w:w="2523" w:type="dxa"/>
          </w:tcPr>
          <w:p w:rsidR="00AE29AD" w:rsidRPr="007D25A5" w:rsidRDefault="00AE29AD" w:rsidP="007B32AC">
            <w:pPr>
              <w:tabs>
                <w:tab w:val="left" w:pos="3168"/>
              </w:tabs>
              <w:rPr>
                <w:rFonts w:ascii="Arial" w:hAnsi="Arial" w:cs="Arial"/>
                <w:sz w:val="24"/>
                <w:szCs w:val="24"/>
              </w:rPr>
            </w:pPr>
            <w:r w:rsidRPr="007D25A5">
              <w:rPr>
                <w:rFonts w:ascii="Arial" w:hAnsi="Arial" w:cs="Arial"/>
                <w:sz w:val="24"/>
                <w:szCs w:val="24"/>
              </w:rPr>
              <w:t>Secondary analysis of Scotland’s Pupil Census data</w:t>
            </w:r>
          </w:p>
        </w:tc>
        <w:tc>
          <w:tcPr>
            <w:tcW w:w="7258" w:type="dxa"/>
          </w:tcPr>
          <w:p w:rsidR="00AE29AD" w:rsidRPr="007D25A5" w:rsidRDefault="00AE29AD" w:rsidP="00F96A99">
            <w:pPr>
              <w:tabs>
                <w:tab w:val="left" w:pos="3168"/>
              </w:tabs>
              <w:rPr>
                <w:rFonts w:ascii="Arial" w:hAnsi="Arial" w:cs="Arial"/>
                <w:sz w:val="24"/>
                <w:szCs w:val="24"/>
              </w:rPr>
            </w:pPr>
            <w:r w:rsidRPr="007D25A5">
              <w:rPr>
                <w:rFonts w:ascii="Arial" w:hAnsi="Arial" w:cs="Arial"/>
                <w:sz w:val="24"/>
                <w:szCs w:val="24"/>
              </w:rPr>
              <w:t xml:space="preserve">This study provides information about schooling trends for children and young people with learning disabilities and autism in Scotland. This information is important to support Scottish learning disabilities policy, given the drive </w:t>
            </w:r>
            <w:r w:rsidR="00F96A99" w:rsidRPr="007D25A5">
              <w:rPr>
                <w:rFonts w:ascii="Arial" w:hAnsi="Arial" w:cs="Arial"/>
                <w:sz w:val="24"/>
                <w:szCs w:val="24"/>
              </w:rPr>
              <w:t xml:space="preserve">to </w:t>
            </w:r>
            <w:r w:rsidRPr="007D25A5">
              <w:rPr>
                <w:rFonts w:ascii="Arial" w:hAnsi="Arial" w:cs="Arial"/>
                <w:sz w:val="24"/>
                <w:szCs w:val="24"/>
              </w:rPr>
              <w:t>support</w:t>
            </w:r>
            <w:r w:rsidR="00F96A99" w:rsidRPr="007D25A5">
              <w:rPr>
                <w:rFonts w:ascii="Arial" w:hAnsi="Arial" w:cs="Arial"/>
                <w:sz w:val="24"/>
                <w:szCs w:val="24"/>
              </w:rPr>
              <w:t>ing</w:t>
            </w:r>
            <w:r w:rsidRPr="007D25A5">
              <w:rPr>
                <w:rFonts w:ascii="Arial" w:hAnsi="Arial" w:cs="Arial"/>
                <w:sz w:val="24"/>
                <w:szCs w:val="24"/>
              </w:rPr>
              <w:t xml:space="preserve"> learning in mainstream schools for children and young people with additional support needs.</w:t>
            </w:r>
          </w:p>
        </w:tc>
        <w:tc>
          <w:tcPr>
            <w:tcW w:w="1276" w:type="dxa"/>
          </w:tcPr>
          <w:p w:rsidR="00AE29AD" w:rsidRPr="007D25A5" w:rsidRDefault="00AE29AD" w:rsidP="000B35FC">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737254">
            <w:pPr>
              <w:spacing w:line="280" w:lineRule="exact"/>
              <w:rPr>
                <w:rFonts w:ascii="Arial" w:hAnsi="Arial" w:cs="Arial"/>
                <w:sz w:val="24"/>
                <w:szCs w:val="24"/>
              </w:rPr>
            </w:pPr>
            <w:r w:rsidRPr="007D25A5">
              <w:rPr>
                <w:rFonts w:ascii="Arial" w:hAnsi="Arial" w:cs="Arial"/>
                <w:sz w:val="24"/>
                <w:szCs w:val="24"/>
              </w:rPr>
              <w:t>Hospital admissions for physical conditions for people with learning disabilities</w:t>
            </w:r>
          </w:p>
          <w:p w:rsidR="00CB33E2" w:rsidRPr="007D25A5" w:rsidRDefault="00CB33E2" w:rsidP="00737254">
            <w:pPr>
              <w:spacing w:line="280" w:lineRule="exact"/>
              <w:rPr>
                <w:rFonts w:ascii="Arial" w:hAnsi="Arial" w:cs="Arial"/>
                <w:sz w:val="24"/>
                <w:szCs w:val="24"/>
              </w:rPr>
            </w:pPr>
          </w:p>
          <w:p w:rsidR="00CB33E2" w:rsidRPr="007D25A5" w:rsidRDefault="007D25A5" w:rsidP="00737254">
            <w:pPr>
              <w:spacing w:line="280" w:lineRule="exact"/>
              <w:rPr>
                <w:rFonts w:ascii="Arial" w:hAnsi="Arial" w:cs="Arial"/>
                <w:bCs/>
                <w:sz w:val="24"/>
                <w:szCs w:val="24"/>
              </w:rPr>
            </w:pPr>
            <w:hyperlink r:id="rId21" w:history="1">
              <w:r w:rsidR="00CB33E2" w:rsidRPr="007D25A5">
                <w:rPr>
                  <w:rStyle w:val="Hyperlink"/>
                  <w:rFonts w:ascii="Arial" w:hAnsi="Arial" w:cs="Arial"/>
                  <w:bCs/>
                  <w:color w:val="auto"/>
                  <w:sz w:val="24"/>
                  <w:szCs w:val="24"/>
                </w:rPr>
                <w:t>https://www.sldo.ac.uk/projects/secondary-health</w:t>
              </w:r>
              <w:r w:rsidR="00CB33E2" w:rsidRPr="007D25A5">
                <w:rPr>
                  <w:rStyle w:val="Hyperlink"/>
                  <w:rFonts w:ascii="Arial" w:hAnsi="Arial" w:cs="Arial"/>
                  <w:bCs/>
                  <w:color w:val="auto"/>
                  <w:sz w:val="24"/>
                  <w:szCs w:val="24"/>
                </w:rPr>
                <w:t>c</w:t>
              </w:r>
              <w:r w:rsidR="00CB33E2" w:rsidRPr="007D25A5">
                <w:rPr>
                  <w:rStyle w:val="Hyperlink"/>
                  <w:rFonts w:ascii="Arial" w:hAnsi="Arial" w:cs="Arial"/>
                  <w:bCs/>
                  <w:color w:val="auto"/>
                  <w:sz w:val="24"/>
                  <w:szCs w:val="24"/>
                </w:rPr>
                <w:t>are/hospital-admissions/</w:t>
              </w:r>
            </w:hyperlink>
            <w:r w:rsidR="00CB33E2" w:rsidRPr="007D25A5">
              <w:rPr>
                <w:rFonts w:ascii="Arial" w:hAnsi="Arial" w:cs="Arial"/>
                <w:bCs/>
                <w:sz w:val="24"/>
                <w:szCs w:val="24"/>
              </w:rPr>
              <w:t xml:space="preserve">  </w:t>
            </w:r>
          </w:p>
          <w:p w:rsidR="00CB33E2" w:rsidRPr="007D25A5" w:rsidRDefault="00CB33E2" w:rsidP="00FC542A">
            <w:pPr>
              <w:spacing w:line="280" w:lineRule="exact"/>
              <w:rPr>
                <w:rFonts w:ascii="Arial" w:hAnsi="Arial" w:cs="Arial"/>
                <w:sz w:val="24"/>
                <w:szCs w:val="24"/>
              </w:rPr>
            </w:pPr>
          </w:p>
        </w:tc>
        <w:tc>
          <w:tcPr>
            <w:tcW w:w="2523"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Systematic review</w:t>
            </w:r>
          </w:p>
        </w:tc>
        <w:tc>
          <w:tcPr>
            <w:tcW w:w="7258" w:type="dxa"/>
          </w:tcPr>
          <w:p w:rsidR="00CB33E2" w:rsidRPr="007D25A5" w:rsidRDefault="00CB33E2" w:rsidP="004D1CB3">
            <w:pPr>
              <w:tabs>
                <w:tab w:val="left" w:pos="3168"/>
              </w:tabs>
              <w:rPr>
                <w:rFonts w:ascii="Arial" w:hAnsi="Arial" w:cs="Arial"/>
                <w:sz w:val="24"/>
                <w:szCs w:val="24"/>
              </w:rPr>
            </w:pPr>
            <w:r w:rsidRPr="007D25A5">
              <w:rPr>
                <w:rFonts w:ascii="Arial" w:hAnsi="Arial" w:cs="Arial"/>
                <w:sz w:val="24"/>
                <w:szCs w:val="24"/>
              </w:rPr>
              <w:t>We found that people with learning disabilities have more admissions in medical and dental, but not surgical specialities than the general population, but there is a shortage of evidence as to whether this relates to their higher level of morbidity compared with the general population, and whether admissions are higher for ambulatory care-sensitive conditions (conditions that do not lead to admission if managed well in primary care). It highlights where to prioritise training of secondary care staff on the needs of people with learning disabilities.</w:t>
            </w:r>
          </w:p>
          <w:p w:rsidR="00CB33E2" w:rsidRPr="007D25A5" w:rsidRDefault="00CB33E2" w:rsidP="004D1CB3">
            <w:pPr>
              <w:tabs>
                <w:tab w:val="left" w:pos="3168"/>
              </w:tabs>
              <w:rPr>
                <w:rFonts w:ascii="Arial" w:hAnsi="Arial" w:cs="Arial"/>
                <w:sz w:val="24"/>
                <w:szCs w:val="24"/>
              </w:rPr>
            </w:pPr>
          </w:p>
          <w:p w:rsidR="007D25A5" w:rsidRPr="007D25A5" w:rsidRDefault="007D25A5" w:rsidP="004D1CB3">
            <w:pPr>
              <w:tabs>
                <w:tab w:val="left" w:pos="3168"/>
              </w:tabs>
              <w:rPr>
                <w:rFonts w:ascii="Arial" w:hAnsi="Arial" w:cs="Arial"/>
                <w:sz w:val="24"/>
                <w:szCs w:val="24"/>
              </w:rPr>
            </w:pPr>
          </w:p>
        </w:tc>
        <w:tc>
          <w:tcPr>
            <w:tcW w:w="1276" w:type="dxa"/>
          </w:tcPr>
          <w:p w:rsidR="00CB33E2" w:rsidRPr="007D25A5" w:rsidRDefault="004E7934" w:rsidP="004D1CB3">
            <w:pPr>
              <w:tabs>
                <w:tab w:val="left" w:pos="3168"/>
              </w:tabs>
              <w:rPr>
                <w:rFonts w:ascii="Arial" w:hAnsi="Arial" w:cs="Arial"/>
                <w:sz w:val="24"/>
                <w:szCs w:val="24"/>
              </w:rPr>
            </w:pPr>
            <w:r w:rsidRPr="007D25A5">
              <w:rPr>
                <w:rFonts w:ascii="Arial" w:hAnsi="Arial" w:cs="Arial"/>
                <w:sz w:val="24"/>
                <w:szCs w:val="24"/>
              </w:rPr>
              <w:t>Dissemin-ating</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Quality of health care in children and young people with learning disabilities, and in children and young people with autism</w:t>
            </w:r>
          </w:p>
          <w:p w:rsidR="0032403F" w:rsidRPr="007D25A5" w:rsidRDefault="0032403F" w:rsidP="00FC542A">
            <w:pPr>
              <w:spacing w:line="280" w:lineRule="exact"/>
              <w:rPr>
                <w:rFonts w:ascii="Arial" w:hAnsi="Arial" w:cs="Arial"/>
                <w:sz w:val="24"/>
                <w:szCs w:val="24"/>
              </w:rPr>
            </w:pPr>
          </w:p>
          <w:p w:rsidR="00326F64" w:rsidRPr="007D25A5" w:rsidRDefault="007D25A5" w:rsidP="007D25A5">
            <w:pPr>
              <w:spacing w:line="280" w:lineRule="exact"/>
              <w:rPr>
                <w:rFonts w:ascii="Arial" w:hAnsi="Arial" w:cs="Arial"/>
                <w:sz w:val="24"/>
                <w:szCs w:val="24"/>
              </w:rPr>
            </w:pPr>
            <w:hyperlink r:id="rId22" w:history="1">
              <w:r w:rsidR="00326F64" w:rsidRPr="007D25A5">
                <w:rPr>
                  <w:rStyle w:val="Hyperlink"/>
                  <w:rFonts w:ascii="Arial" w:hAnsi="Arial" w:cs="Arial"/>
                  <w:color w:val="auto"/>
                  <w:sz w:val="24"/>
                  <w:szCs w:val="24"/>
                </w:rPr>
                <w:t>https://www.sldo.ac.uk/projects/seco</w:t>
              </w:r>
              <w:r w:rsidR="00326F64" w:rsidRPr="007D25A5">
                <w:rPr>
                  <w:rStyle w:val="Hyperlink"/>
                  <w:rFonts w:ascii="Arial" w:hAnsi="Arial" w:cs="Arial"/>
                  <w:color w:val="auto"/>
                  <w:sz w:val="24"/>
                  <w:szCs w:val="24"/>
                </w:rPr>
                <w:t>n</w:t>
              </w:r>
              <w:r w:rsidR="00326F64" w:rsidRPr="007D25A5">
                <w:rPr>
                  <w:rStyle w:val="Hyperlink"/>
                  <w:rFonts w:ascii="Arial" w:hAnsi="Arial" w:cs="Arial"/>
                  <w:color w:val="auto"/>
                  <w:sz w:val="24"/>
                  <w:szCs w:val="24"/>
                </w:rPr>
                <w:t>dary-healthcare/hospital-admissions/</w:t>
              </w:r>
            </w:hyperlink>
          </w:p>
        </w:tc>
        <w:tc>
          <w:tcPr>
            <w:tcW w:w="2523"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Record linkage of Scotland’s Pupil Census with Scottish Morbidity Record 01 and Prescribing Information System</w:t>
            </w:r>
          </w:p>
        </w:tc>
        <w:tc>
          <w:tcPr>
            <w:tcW w:w="7258" w:type="dxa"/>
          </w:tcPr>
          <w:p w:rsidR="00CB33E2" w:rsidRPr="007D25A5" w:rsidRDefault="00CB33E2" w:rsidP="00F96A99">
            <w:pPr>
              <w:tabs>
                <w:tab w:val="left" w:pos="3168"/>
              </w:tabs>
              <w:rPr>
                <w:rFonts w:ascii="Arial" w:hAnsi="Arial" w:cs="Arial"/>
                <w:sz w:val="24"/>
                <w:szCs w:val="24"/>
              </w:rPr>
            </w:pPr>
            <w:r w:rsidRPr="007D25A5">
              <w:rPr>
                <w:rFonts w:ascii="Arial" w:hAnsi="Arial" w:cs="Arial"/>
                <w:sz w:val="24"/>
                <w:szCs w:val="24"/>
              </w:rPr>
              <w:t xml:space="preserve">This study will determine if rates of admissions for ambulatory-care sensitive conditions – specifically diabetes, asthma, and epilepsy – are higher than for children and young people with these conditions who do not have additional support needs. This is a marker of health care quality, so will raise awareness with practitioners and carers of any problems identified, and can be used as a indicator of trends </w:t>
            </w:r>
            <w:r w:rsidR="00F96A99" w:rsidRPr="007D25A5">
              <w:rPr>
                <w:rFonts w:ascii="Arial" w:hAnsi="Arial" w:cs="Arial"/>
                <w:sz w:val="24"/>
                <w:szCs w:val="24"/>
              </w:rPr>
              <w:t xml:space="preserve">in health care quality </w:t>
            </w:r>
            <w:r w:rsidRPr="007D25A5">
              <w:rPr>
                <w:rFonts w:ascii="Arial" w:hAnsi="Arial" w:cs="Arial"/>
                <w:sz w:val="24"/>
                <w:szCs w:val="24"/>
              </w:rPr>
              <w:t>over time for policy-makers.</w:t>
            </w:r>
          </w:p>
        </w:tc>
        <w:tc>
          <w:tcPr>
            <w:tcW w:w="1276" w:type="dxa"/>
          </w:tcPr>
          <w:p w:rsidR="00CB33E2" w:rsidRPr="007D25A5" w:rsidRDefault="004E7934" w:rsidP="00A47A9D">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Life expectancy and causes of death of people with learning disabilities</w:t>
            </w:r>
          </w:p>
          <w:p w:rsidR="00CB33E2" w:rsidRPr="007D25A5" w:rsidRDefault="00CB33E2" w:rsidP="00B15702">
            <w:pPr>
              <w:spacing w:line="280" w:lineRule="exact"/>
              <w:rPr>
                <w:rFonts w:ascii="Arial" w:hAnsi="Arial" w:cs="Arial"/>
                <w:sz w:val="24"/>
                <w:szCs w:val="24"/>
              </w:rPr>
            </w:pPr>
          </w:p>
          <w:p w:rsidR="00CB33E2" w:rsidRPr="007D25A5" w:rsidRDefault="0032403F" w:rsidP="0032403F">
            <w:pPr>
              <w:spacing w:line="280" w:lineRule="exact"/>
              <w:rPr>
                <w:rFonts w:ascii="Arial" w:hAnsi="Arial" w:cs="Arial"/>
                <w:sz w:val="24"/>
                <w:szCs w:val="24"/>
              </w:rPr>
            </w:pPr>
            <w:hyperlink r:id="rId23" w:history="1">
              <w:r w:rsidRPr="007D25A5">
                <w:rPr>
                  <w:rStyle w:val="Hyperlink"/>
                  <w:rFonts w:ascii="Arial" w:hAnsi="Arial" w:cs="Arial"/>
                  <w:color w:val="auto"/>
                  <w:sz w:val="24"/>
                  <w:szCs w:val="24"/>
                </w:rPr>
                <w:t>https://www</w:t>
              </w:r>
              <w:r w:rsidRPr="007D25A5">
                <w:rPr>
                  <w:rStyle w:val="Hyperlink"/>
                  <w:rFonts w:ascii="Arial" w:hAnsi="Arial" w:cs="Arial"/>
                  <w:color w:val="auto"/>
                  <w:sz w:val="24"/>
                  <w:szCs w:val="24"/>
                </w:rPr>
                <w:t>.</w:t>
              </w:r>
              <w:r w:rsidRPr="007D25A5">
                <w:rPr>
                  <w:rStyle w:val="Hyperlink"/>
                  <w:rFonts w:ascii="Arial" w:hAnsi="Arial" w:cs="Arial"/>
                  <w:color w:val="auto"/>
                  <w:sz w:val="24"/>
                  <w:szCs w:val="24"/>
                </w:rPr>
                <w:t>sldo.ac.uk/projects/mortality/life-expectancy/</w:t>
              </w:r>
            </w:hyperlink>
          </w:p>
        </w:tc>
        <w:tc>
          <w:tcPr>
            <w:tcW w:w="2523"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 xml:space="preserve">Systematic review </w:t>
            </w:r>
          </w:p>
        </w:tc>
        <w:tc>
          <w:tcPr>
            <w:tcW w:w="7258" w:type="dxa"/>
          </w:tcPr>
          <w:p w:rsidR="00CB33E2" w:rsidRPr="007D25A5" w:rsidRDefault="00CB33E2" w:rsidP="007A1D9C">
            <w:pPr>
              <w:tabs>
                <w:tab w:val="left" w:pos="3168"/>
              </w:tabs>
              <w:rPr>
                <w:rFonts w:ascii="Arial" w:hAnsi="Arial" w:cs="Arial"/>
                <w:sz w:val="24"/>
                <w:szCs w:val="24"/>
              </w:rPr>
            </w:pPr>
            <w:r w:rsidRPr="007D25A5">
              <w:rPr>
                <w:rFonts w:ascii="Arial" w:hAnsi="Arial" w:cs="Arial"/>
                <w:sz w:val="24"/>
                <w:szCs w:val="24"/>
              </w:rPr>
              <w:t>This study has found that people with learning disabilities die on average 20-25 years earlier than the general population, and identified the high risk groups. Causes of death differ to the general population and about 40% of deaths are potentially amenable to health care. Standardized mortality rates are higher for women than for men for reasons that we don’t yet know (women with learning disabilities have a greater health inequality with the general population than do men with learning disabilities). This requires further study, and work to support policy-makers.</w:t>
            </w:r>
          </w:p>
          <w:p w:rsidR="00F96A99" w:rsidRPr="007D25A5" w:rsidRDefault="00F96A99" w:rsidP="007A1D9C">
            <w:pPr>
              <w:tabs>
                <w:tab w:val="left" w:pos="3168"/>
              </w:tabs>
              <w:rPr>
                <w:rFonts w:ascii="Arial" w:hAnsi="Arial" w:cs="Arial"/>
                <w:sz w:val="24"/>
                <w:szCs w:val="24"/>
              </w:rPr>
            </w:pPr>
          </w:p>
        </w:tc>
        <w:tc>
          <w:tcPr>
            <w:tcW w:w="1276" w:type="dxa"/>
          </w:tcPr>
          <w:p w:rsidR="00CB33E2" w:rsidRPr="007D25A5" w:rsidRDefault="004E7934" w:rsidP="007446EA">
            <w:pPr>
              <w:tabs>
                <w:tab w:val="left" w:pos="3168"/>
              </w:tabs>
              <w:rPr>
                <w:rFonts w:ascii="Arial" w:hAnsi="Arial" w:cs="Arial"/>
                <w:sz w:val="24"/>
                <w:szCs w:val="24"/>
              </w:rPr>
            </w:pPr>
            <w:r w:rsidRPr="007D25A5">
              <w:rPr>
                <w:rFonts w:ascii="Arial" w:hAnsi="Arial" w:cs="Arial"/>
                <w:sz w:val="24"/>
                <w:szCs w:val="24"/>
              </w:rPr>
              <w:t>Dissemin-ating</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Causes of death in children and young people with learning disabilities and children and young people with autism</w:t>
            </w:r>
          </w:p>
          <w:p w:rsidR="00326F64" w:rsidRPr="007D25A5" w:rsidRDefault="00326F64" w:rsidP="00FC542A">
            <w:pPr>
              <w:spacing w:line="280" w:lineRule="exact"/>
              <w:rPr>
                <w:rFonts w:ascii="Arial" w:hAnsi="Arial" w:cs="Arial"/>
                <w:sz w:val="24"/>
                <w:szCs w:val="24"/>
              </w:rPr>
            </w:pPr>
          </w:p>
          <w:p w:rsidR="00326F64" w:rsidRPr="007D25A5" w:rsidRDefault="0032403F" w:rsidP="0032403F">
            <w:pPr>
              <w:spacing w:line="280" w:lineRule="exact"/>
              <w:rPr>
                <w:rFonts w:ascii="Arial" w:hAnsi="Arial" w:cs="Arial"/>
                <w:sz w:val="24"/>
                <w:szCs w:val="24"/>
              </w:rPr>
            </w:pPr>
            <w:hyperlink r:id="rId24" w:history="1">
              <w:r w:rsidRPr="007D25A5">
                <w:rPr>
                  <w:rStyle w:val="Hyperlink"/>
                  <w:rFonts w:ascii="Arial" w:hAnsi="Arial" w:cs="Arial"/>
                  <w:color w:val="auto"/>
                  <w:sz w:val="24"/>
                  <w:szCs w:val="24"/>
                </w:rPr>
                <w:t>https://www.sldo.ac.uk/projects/mortality/lif</w:t>
              </w:r>
              <w:r w:rsidRPr="007D25A5">
                <w:rPr>
                  <w:rStyle w:val="Hyperlink"/>
                  <w:rFonts w:ascii="Arial" w:hAnsi="Arial" w:cs="Arial"/>
                  <w:color w:val="auto"/>
                  <w:sz w:val="24"/>
                  <w:szCs w:val="24"/>
                </w:rPr>
                <w:t>e</w:t>
              </w:r>
              <w:r w:rsidRPr="007D25A5">
                <w:rPr>
                  <w:rStyle w:val="Hyperlink"/>
                  <w:rFonts w:ascii="Arial" w:hAnsi="Arial" w:cs="Arial"/>
                  <w:color w:val="auto"/>
                  <w:sz w:val="24"/>
                  <w:szCs w:val="24"/>
                </w:rPr>
                <w:t>-expectancy/</w:t>
              </w:r>
            </w:hyperlink>
          </w:p>
          <w:p w:rsidR="0032403F" w:rsidRPr="007D25A5" w:rsidRDefault="0032403F" w:rsidP="0032403F">
            <w:pPr>
              <w:spacing w:line="280" w:lineRule="exact"/>
              <w:rPr>
                <w:rFonts w:ascii="Arial" w:hAnsi="Arial" w:cs="Arial"/>
                <w:sz w:val="24"/>
                <w:szCs w:val="24"/>
              </w:rPr>
            </w:pPr>
          </w:p>
        </w:tc>
        <w:tc>
          <w:tcPr>
            <w:tcW w:w="2523" w:type="dxa"/>
          </w:tcPr>
          <w:p w:rsidR="00CB33E2" w:rsidRPr="007D25A5" w:rsidRDefault="00CB33E2" w:rsidP="007446EA">
            <w:pPr>
              <w:tabs>
                <w:tab w:val="left" w:pos="3168"/>
              </w:tabs>
              <w:rPr>
                <w:rFonts w:ascii="Arial" w:hAnsi="Arial" w:cs="Arial"/>
                <w:sz w:val="24"/>
                <w:szCs w:val="24"/>
              </w:rPr>
            </w:pPr>
            <w:r w:rsidRPr="007D25A5">
              <w:rPr>
                <w:rFonts w:ascii="Arial" w:hAnsi="Arial" w:cs="Arial"/>
                <w:sz w:val="24"/>
                <w:szCs w:val="24"/>
              </w:rPr>
              <w:t>Record linkage of Scotland’s Pupil Census with National Records of Scotland death records</w:t>
            </w:r>
          </w:p>
        </w:tc>
        <w:tc>
          <w:tcPr>
            <w:tcW w:w="7258" w:type="dxa"/>
          </w:tcPr>
          <w:p w:rsidR="00CB33E2" w:rsidRPr="007D25A5" w:rsidRDefault="00CB33E2" w:rsidP="007446EA">
            <w:pPr>
              <w:tabs>
                <w:tab w:val="left" w:pos="3168"/>
              </w:tabs>
              <w:rPr>
                <w:rFonts w:ascii="Arial" w:hAnsi="Arial" w:cs="Arial"/>
                <w:sz w:val="24"/>
                <w:szCs w:val="24"/>
              </w:rPr>
            </w:pPr>
            <w:r w:rsidRPr="007D25A5">
              <w:rPr>
                <w:rFonts w:ascii="Arial" w:hAnsi="Arial" w:cs="Arial"/>
                <w:sz w:val="24"/>
                <w:szCs w:val="24"/>
              </w:rPr>
              <w:t>It is important to understand causes of death, as a proportion will be preventable and/or amenable to health care</w:t>
            </w:r>
            <w:r w:rsidR="00F96A99" w:rsidRPr="007D25A5">
              <w:rPr>
                <w:rFonts w:ascii="Arial" w:hAnsi="Arial" w:cs="Arial"/>
                <w:sz w:val="24"/>
                <w:szCs w:val="24"/>
              </w:rPr>
              <w:t xml:space="preserve">. </w:t>
            </w:r>
            <w:r w:rsidRPr="007D25A5">
              <w:rPr>
                <w:rFonts w:ascii="Arial" w:hAnsi="Arial" w:cs="Arial"/>
                <w:sz w:val="24"/>
                <w:szCs w:val="24"/>
              </w:rPr>
              <w:t>The causes of death in children and young people are likely to differ from those in adults, and from the general population. This study will find out about this, and could therefore identify what further interventions and/or policies are needed</w:t>
            </w:r>
            <w:r w:rsidR="00F96A99" w:rsidRPr="007D25A5">
              <w:rPr>
                <w:rFonts w:ascii="Arial" w:hAnsi="Arial" w:cs="Arial"/>
                <w:sz w:val="24"/>
                <w:szCs w:val="24"/>
              </w:rPr>
              <w:t xml:space="preserve"> to reduce inequalities</w:t>
            </w:r>
            <w:r w:rsidRPr="007D25A5">
              <w:rPr>
                <w:rFonts w:ascii="Arial" w:hAnsi="Arial" w:cs="Arial"/>
                <w:sz w:val="24"/>
                <w:szCs w:val="24"/>
              </w:rPr>
              <w:t>.</w:t>
            </w:r>
          </w:p>
          <w:p w:rsidR="00CB33E2" w:rsidRPr="007D25A5" w:rsidRDefault="00CB33E2" w:rsidP="007446EA">
            <w:pPr>
              <w:tabs>
                <w:tab w:val="left" w:pos="3168"/>
              </w:tabs>
              <w:rPr>
                <w:rFonts w:ascii="Arial" w:hAnsi="Arial" w:cs="Arial"/>
                <w:sz w:val="24"/>
                <w:szCs w:val="24"/>
              </w:rPr>
            </w:pPr>
          </w:p>
        </w:tc>
        <w:tc>
          <w:tcPr>
            <w:tcW w:w="1276" w:type="dxa"/>
          </w:tcPr>
          <w:p w:rsidR="00CB33E2" w:rsidRPr="007D25A5" w:rsidRDefault="004E7934" w:rsidP="007446EA">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 xml:space="preserve">Life expectancy and causes of death of people with Down </w:t>
            </w:r>
            <w:r w:rsidR="00370A7F" w:rsidRPr="007D25A5">
              <w:rPr>
                <w:rFonts w:ascii="Arial" w:hAnsi="Arial" w:cs="Arial"/>
                <w:sz w:val="24"/>
                <w:szCs w:val="24"/>
              </w:rPr>
              <w:t>s</w:t>
            </w:r>
            <w:r w:rsidRPr="007D25A5">
              <w:rPr>
                <w:rFonts w:ascii="Arial" w:hAnsi="Arial" w:cs="Arial"/>
                <w:sz w:val="24"/>
                <w:szCs w:val="24"/>
              </w:rPr>
              <w:t>yndrome</w:t>
            </w:r>
          </w:p>
          <w:p w:rsidR="00802C50" w:rsidRPr="007D25A5" w:rsidRDefault="00802C50" w:rsidP="00FC542A">
            <w:pPr>
              <w:spacing w:line="280" w:lineRule="exact"/>
              <w:rPr>
                <w:rFonts w:ascii="Arial" w:hAnsi="Arial" w:cs="Arial"/>
                <w:sz w:val="24"/>
                <w:szCs w:val="24"/>
              </w:rPr>
            </w:pPr>
          </w:p>
          <w:p w:rsidR="00802C50" w:rsidRPr="007D25A5" w:rsidRDefault="0032403F" w:rsidP="00B666B1">
            <w:pPr>
              <w:spacing w:line="280" w:lineRule="exact"/>
              <w:rPr>
                <w:rFonts w:ascii="Arial" w:hAnsi="Arial" w:cs="Arial"/>
                <w:sz w:val="24"/>
                <w:szCs w:val="24"/>
              </w:rPr>
            </w:pPr>
            <w:hyperlink r:id="rId25" w:history="1">
              <w:r w:rsidRPr="007D25A5">
                <w:rPr>
                  <w:rStyle w:val="Hyperlink"/>
                  <w:rFonts w:ascii="Arial" w:hAnsi="Arial" w:cs="Arial"/>
                  <w:color w:val="auto"/>
                  <w:sz w:val="24"/>
                  <w:szCs w:val="24"/>
                </w:rPr>
                <w:t>https://www.sldo.ac.uk/projects/mortality/</w:t>
              </w:r>
              <w:r w:rsidRPr="007D25A5">
                <w:rPr>
                  <w:rStyle w:val="Hyperlink"/>
                  <w:rFonts w:ascii="Arial" w:hAnsi="Arial" w:cs="Arial"/>
                  <w:color w:val="auto"/>
                  <w:sz w:val="24"/>
                  <w:szCs w:val="24"/>
                </w:rPr>
                <w:t>l</w:t>
              </w:r>
              <w:r w:rsidRPr="007D25A5">
                <w:rPr>
                  <w:rStyle w:val="Hyperlink"/>
                  <w:rFonts w:ascii="Arial" w:hAnsi="Arial" w:cs="Arial"/>
                  <w:color w:val="auto"/>
                  <w:sz w:val="24"/>
                  <w:szCs w:val="24"/>
                </w:rPr>
                <w:t>ife-expectancy/</w:t>
              </w:r>
            </w:hyperlink>
          </w:p>
        </w:tc>
        <w:tc>
          <w:tcPr>
            <w:tcW w:w="2523"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 xml:space="preserve">Systematic review </w:t>
            </w:r>
          </w:p>
        </w:tc>
        <w:tc>
          <w:tcPr>
            <w:tcW w:w="7258" w:type="dxa"/>
          </w:tcPr>
          <w:p w:rsidR="00CB33E2" w:rsidRPr="007D25A5" w:rsidRDefault="00CB33E2" w:rsidP="007D25A5">
            <w:pPr>
              <w:tabs>
                <w:tab w:val="left" w:pos="3168"/>
              </w:tabs>
              <w:rPr>
                <w:rFonts w:ascii="Arial" w:hAnsi="Arial" w:cs="Arial"/>
                <w:sz w:val="24"/>
                <w:szCs w:val="24"/>
              </w:rPr>
            </w:pPr>
            <w:r w:rsidRPr="007D25A5">
              <w:rPr>
                <w:rFonts w:ascii="Arial" w:hAnsi="Arial" w:cs="Arial"/>
                <w:sz w:val="24"/>
                <w:szCs w:val="24"/>
              </w:rPr>
              <w:t xml:space="preserve">This study will provide information about how life expectancy and causes of death of people with Down </w:t>
            </w:r>
            <w:r w:rsidR="00370A7F" w:rsidRPr="007D25A5">
              <w:rPr>
                <w:rFonts w:ascii="Arial" w:hAnsi="Arial" w:cs="Arial"/>
                <w:sz w:val="24"/>
                <w:szCs w:val="24"/>
              </w:rPr>
              <w:t>s</w:t>
            </w:r>
            <w:r w:rsidRPr="007D25A5">
              <w:rPr>
                <w:rFonts w:ascii="Arial" w:hAnsi="Arial" w:cs="Arial"/>
                <w:sz w:val="24"/>
                <w:szCs w:val="24"/>
              </w:rPr>
              <w:t>yndrome differs to the general population, and the trends over time. Changes in lifespan are important to quantify, given the high levels of dementia in over 50 year olds with Down syndrome. This will help in planning services and resources t</w:t>
            </w:r>
            <w:r w:rsidR="00F96A99" w:rsidRPr="007D25A5">
              <w:rPr>
                <w:rFonts w:ascii="Arial" w:hAnsi="Arial" w:cs="Arial"/>
                <w:sz w:val="24"/>
                <w:szCs w:val="24"/>
              </w:rPr>
              <w:t>o support this</w:t>
            </w:r>
            <w:r w:rsidRPr="007D25A5">
              <w:rPr>
                <w:rFonts w:ascii="Arial" w:hAnsi="Arial" w:cs="Arial"/>
                <w:sz w:val="24"/>
                <w:szCs w:val="24"/>
              </w:rPr>
              <w:t xml:space="preserve"> ageing population.</w:t>
            </w:r>
          </w:p>
        </w:tc>
        <w:tc>
          <w:tcPr>
            <w:tcW w:w="1276" w:type="dxa"/>
          </w:tcPr>
          <w:p w:rsidR="00CB33E2" w:rsidRPr="007D25A5" w:rsidRDefault="004E7934" w:rsidP="00737254">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FC542A">
            <w:pPr>
              <w:spacing w:line="280" w:lineRule="exact"/>
              <w:rPr>
                <w:rFonts w:ascii="Arial" w:hAnsi="Arial" w:cs="Arial"/>
                <w:sz w:val="24"/>
                <w:szCs w:val="24"/>
              </w:rPr>
            </w:pPr>
            <w:r w:rsidRPr="007D25A5">
              <w:rPr>
                <w:rFonts w:ascii="Arial" w:hAnsi="Arial" w:cs="Arial"/>
                <w:sz w:val="24"/>
                <w:szCs w:val="24"/>
              </w:rPr>
              <w:t>Trends in infant mortality and childhood survival in children with Down syndrome</w:t>
            </w:r>
          </w:p>
        </w:tc>
        <w:tc>
          <w:tcPr>
            <w:tcW w:w="2523"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Regional genetics unit data linked to CHI, NRS death records, and Scottish Morbidity Record 01</w:t>
            </w:r>
          </w:p>
        </w:tc>
        <w:tc>
          <w:tcPr>
            <w:tcW w:w="7258" w:type="dxa"/>
          </w:tcPr>
          <w:p w:rsidR="00CB33E2" w:rsidRPr="007D25A5" w:rsidRDefault="00CB33E2" w:rsidP="00737254">
            <w:pPr>
              <w:tabs>
                <w:tab w:val="left" w:pos="3168"/>
              </w:tabs>
              <w:rPr>
                <w:rFonts w:ascii="Arial" w:hAnsi="Arial" w:cs="Arial"/>
                <w:sz w:val="24"/>
                <w:szCs w:val="24"/>
              </w:rPr>
            </w:pPr>
            <w:r w:rsidRPr="007D25A5">
              <w:rPr>
                <w:rFonts w:ascii="Arial" w:hAnsi="Arial" w:cs="Arial"/>
                <w:sz w:val="24"/>
                <w:szCs w:val="24"/>
              </w:rPr>
              <w:t xml:space="preserve">Historically, deaths of children with Down syndrome are most common in the first year of life, due to congenital heart disease and respiratory problems. We will determine trends in mortality and survival, given </w:t>
            </w:r>
            <w:r w:rsidR="00F96A99" w:rsidRPr="007D25A5">
              <w:rPr>
                <w:rFonts w:ascii="Arial" w:hAnsi="Arial" w:cs="Arial"/>
                <w:sz w:val="24"/>
                <w:szCs w:val="24"/>
              </w:rPr>
              <w:t xml:space="preserve">advances </w:t>
            </w:r>
            <w:r w:rsidRPr="007D25A5">
              <w:rPr>
                <w:rFonts w:ascii="Arial" w:hAnsi="Arial" w:cs="Arial"/>
                <w:sz w:val="24"/>
                <w:szCs w:val="24"/>
              </w:rPr>
              <w:t>in surgery and access to surgery. We will also relate this to patterns i</w:t>
            </w:r>
            <w:r w:rsidR="00F96A99" w:rsidRPr="007D25A5">
              <w:rPr>
                <w:rFonts w:ascii="Arial" w:hAnsi="Arial" w:cs="Arial"/>
                <w:sz w:val="24"/>
                <w:szCs w:val="24"/>
              </w:rPr>
              <w:t>n hospital admissions for children and young people</w:t>
            </w:r>
            <w:r w:rsidRPr="007D25A5">
              <w:rPr>
                <w:rFonts w:ascii="Arial" w:hAnsi="Arial" w:cs="Arial"/>
                <w:sz w:val="24"/>
                <w:szCs w:val="24"/>
              </w:rPr>
              <w:t xml:space="preserve"> with Down syndrome.</w:t>
            </w:r>
            <w:r w:rsidR="00F96A99" w:rsidRPr="007D25A5">
              <w:rPr>
                <w:rFonts w:ascii="Arial" w:hAnsi="Arial" w:cs="Arial"/>
                <w:sz w:val="24"/>
                <w:szCs w:val="24"/>
              </w:rPr>
              <w:t xml:space="preserve"> Parents need information on</w:t>
            </w:r>
            <w:r w:rsidRPr="007D25A5">
              <w:rPr>
                <w:rFonts w:ascii="Arial" w:hAnsi="Arial" w:cs="Arial"/>
                <w:sz w:val="24"/>
                <w:szCs w:val="24"/>
              </w:rPr>
              <w:t xml:space="preserve"> outcomes to help with </w:t>
            </w:r>
            <w:r w:rsidR="00F96A99" w:rsidRPr="007D25A5">
              <w:rPr>
                <w:rFonts w:ascii="Arial" w:hAnsi="Arial" w:cs="Arial"/>
                <w:sz w:val="24"/>
                <w:szCs w:val="24"/>
              </w:rPr>
              <w:t>difficult decisions at the time</w:t>
            </w:r>
            <w:r w:rsidRPr="007D25A5">
              <w:rPr>
                <w:rFonts w:ascii="Arial" w:hAnsi="Arial" w:cs="Arial"/>
                <w:sz w:val="24"/>
                <w:szCs w:val="24"/>
              </w:rPr>
              <w:t xml:space="preserve"> of foetal diagnosis, and to help them plan to support their child. Access to surgery should be equal for all children who need it.</w:t>
            </w:r>
          </w:p>
          <w:p w:rsidR="007D25A5" w:rsidRPr="007D25A5" w:rsidRDefault="007D25A5" w:rsidP="00737254">
            <w:pPr>
              <w:tabs>
                <w:tab w:val="left" w:pos="3168"/>
              </w:tabs>
              <w:rPr>
                <w:rFonts w:ascii="Arial" w:hAnsi="Arial" w:cs="Arial"/>
                <w:sz w:val="24"/>
                <w:szCs w:val="24"/>
              </w:rPr>
            </w:pPr>
          </w:p>
          <w:p w:rsidR="00CB33E2" w:rsidRPr="007D25A5" w:rsidRDefault="00CB33E2" w:rsidP="00737254">
            <w:pPr>
              <w:tabs>
                <w:tab w:val="left" w:pos="3168"/>
              </w:tabs>
              <w:rPr>
                <w:rFonts w:ascii="Arial" w:hAnsi="Arial" w:cs="Arial"/>
                <w:sz w:val="24"/>
                <w:szCs w:val="24"/>
              </w:rPr>
            </w:pPr>
          </w:p>
        </w:tc>
        <w:tc>
          <w:tcPr>
            <w:tcW w:w="1276" w:type="dxa"/>
          </w:tcPr>
          <w:p w:rsidR="00CB33E2" w:rsidRPr="007D25A5" w:rsidRDefault="004E7934" w:rsidP="00737254">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FC542A">
            <w:pPr>
              <w:rPr>
                <w:rFonts w:ascii="Arial" w:hAnsi="Arial" w:cs="Arial"/>
                <w:sz w:val="24"/>
                <w:szCs w:val="24"/>
              </w:rPr>
            </w:pPr>
            <w:r w:rsidRPr="007D25A5">
              <w:rPr>
                <w:rFonts w:ascii="Arial" w:hAnsi="Arial" w:cs="Arial"/>
                <w:sz w:val="24"/>
                <w:szCs w:val="24"/>
              </w:rPr>
              <w:t>The physical and mental health of people with comorbid autism and learning disabilities in Scotland</w:t>
            </w:r>
          </w:p>
          <w:p w:rsidR="00B725BA" w:rsidRPr="007D25A5" w:rsidRDefault="00B725BA" w:rsidP="00FC542A">
            <w:pPr>
              <w:rPr>
                <w:rFonts w:ascii="Arial" w:hAnsi="Arial" w:cs="Arial"/>
                <w:sz w:val="24"/>
                <w:szCs w:val="24"/>
              </w:rPr>
            </w:pPr>
          </w:p>
          <w:p w:rsidR="00CB33E2" w:rsidRPr="007D25A5" w:rsidRDefault="007D25A5" w:rsidP="00FC542A">
            <w:pPr>
              <w:rPr>
                <w:rFonts w:ascii="Arial" w:hAnsi="Arial" w:cs="Arial"/>
                <w:sz w:val="24"/>
                <w:szCs w:val="24"/>
              </w:rPr>
            </w:pPr>
            <w:hyperlink r:id="rId26" w:history="1">
              <w:r w:rsidR="00FF5939" w:rsidRPr="007D25A5">
                <w:rPr>
                  <w:rStyle w:val="Hyperlink"/>
                  <w:rFonts w:ascii="Arial" w:hAnsi="Arial" w:cs="Arial"/>
                  <w:color w:val="auto"/>
                  <w:sz w:val="24"/>
                  <w:szCs w:val="24"/>
                </w:rPr>
                <w:t>https://www.sldo.ac.uk/projects/health/census-2011-people-with-learni</w:t>
              </w:r>
              <w:r w:rsidR="00FF5939" w:rsidRPr="007D25A5">
                <w:rPr>
                  <w:rStyle w:val="Hyperlink"/>
                  <w:rFonts w:ascii="Arial" w:hAnsi="Arial" w:cs="Arial"/>
                  <w:color w:val="auto"/>
                  <w:sz w:val="24"/>
                  <w:szCs w:val="24"/>
                </w:rPr>
                <w:t>n</w:t>
              </w:r>
              <w:r w:rsidR="00FF5939" w:rsidRPr="007D25A5">
                <w:rPr>
                  <w:rStyle w:val="Hyperlink"/>
                  <w:rFonts w:ascii="Arial" w:hAnsi="Arial" w:cs="Arial"/>
                  <w:color w:val="auto"/>
                  <w:sz w:val="24"/>
                  <w:szCs w:val="24"/>
                </w:rPr>
                <w:t>g-disabilities-autism/</w:t>
              </w:r>
            </w:hyperlink>
          </w:p>
          <w:p w:rsidR="00FF5939" w:rsidRPr="007D25A5" w:rsidRDefault="00FF5939" w:rsidP="00FC542A">
            <w:pPr>
              <w:rPr>
                <w:rFonts w:ascii="Arial" w:hAnsi="Arial" w:cs="Arial"/>
                <w:sz w:val="24"/>
                <w:szCs w:val="24"/>
              </w:rPr>
            </w:pPr>
          </w:p>
        </w:tc>
        <w:tc>
          <w:tcPr>
            <w:tcW w:w="2523" w:type="dxa"/>
          </w:tcPr>
          <w:p w:rsidR="007A1D9C" w:rsidRPr="007D25A5" w:rsidRDefault="00CB33E2" w:rsidP="009C584B">
            <w:pPr>
              <w:tabs>
                <w:tab w:val="left" w:pos="3168"/>
              </w:tabs>
              <w:rPr>
                <w:rFonts w:ascii="Arial" w:hAnsi="Arial" w:cs="Arial"/>
                <w:sz w:val="24"/>
                <w:szCs w:val="24"/>
              </w:rPr>
            </w:pPr>
            <w:r w:rsidRPr="007D25A5">
              <w:rPr>
                <w:rFonts w:ascii="Arial" w:hAnsi="Arial" w:cs="Arial"/>
                <w:sz w:val="24"/>
                <w:szCs w:val="24"/>
              </w:rPr>
              <w:t>Analysis of health data from people with learning disabilities and autism compared with the general population using Scotland’s Census, 2011</w:t>
            </w:r>
          </w:p>
          <w:p w:rsidR="00F96A99" w:rsidRPr="007D25A5" w:rsidRDefault="00F96A99" w:rsidP="009C584B">
            <w:pPr>
              <w:tabs>
                <w:tab w:val="left" w:pos="3168"/>
              </w:tabs>
              <w:rPr>
                <w:rFonts w:ascii="Arial" w:hAnsi="Arial" w:cs="Arial"/>
                <w:sz w:val="24"/>
                <w:szCs w:val="24"/>
              </w:rPr>
            </w:pPr>
          </w:p>
        </w:tc>
        <w:tc>
          <w:tcPr>
            <w:tcW w:w="7258" w:type="dxa"/>
          </w:tcPr>
          <w:p w:rsidR="00CB33E2" w:rsidRPr="007D25A5" w:rsidRDefault="00CB33E2" w:rsidP="00142C00">
            <w:pPr>
              <w:tabs>
                <w:tab w:val="left" w:pos="3168"/>
              </w:tabs>
              <w:rPr>
                <w:rFonts w:ascii="Arial" w:hAnsi="Arial" w:cs="Arial"/>
                <w:sz w:val="24"/>
                <w:szCs w:val="24"/>
              </w:rPr>
            </w:pPr>
            <w:r w:rsidRPr="007D25A5">
              <w:rPr>
                <w:rFonts w:ascii="Arial" w:eastAsia="Arial" w:hAnsi="Arial" w:cs="Arial"/>
                <w:sz w:val="24"/>
                <w:szCs w:val="24"/>
              </w:rPr>
              <w:t>About 20% of people with learning disabilities have autism, and about 20% of people with autism have learning disabilities. This study examines whether their needs differ from people with just one of these conditions, and the extent of difference from the general population. This may have implications for service planning and for policy, depend</w:t>
            </w:r>
            <w:r w:rsidR="00142C00" w:rsidRPr="007D25A5">
              <w:rPr>
                <w:rFonts w:ascii="Arial" w:eastAsia="Arial" w:hAnsi="Arial" w:cs="Arial"/>
                <w:sz w:val="24"/>
                <w:szCs w:val="24"/>
              </w:rPr>
              <w:t>e</w:t>
            </w:r>
            <w:r w:rsidRPr="007D25A5">
              <w:rPr>
                <w:rFonts w:ascii="Arial" w:eastAsia="Arial" w:hAnsi="Arial" w:cs="Arial"/>
                <w:sz w:val="24"/>
                <w:szCs w:val="24"/>
              </w:rPr>
              <w:t>nt upon the study findings.</w:t>
            </w:r>
          </w:p>
        </w:tc>
        <w:tc>
          <w:tcPr>
            <w:tcW w:w="1276" w:type="dxa"/>
          </w:tcPr>
          <w:p w:rsidR="00CB33E2" w:rsidRPr="007D25A5" w:rsidRDefault="004E7934" w:rsidP="00000E90">
            <w:pPr>
              <w:tabs>
                <w:tab w:val="left" w:pos="3168"/>
              </w:tabs>
              <w:rPr>
                <w:rFonts w:ascii="Arial" w:eastAsia="Arial" w:hAnsi="Arial" w:cs="Arial"/>
                <w:sz w:val="24"/>
                <w:szCs w:val="24"/>
              </w:rPr>
            </w:pPr>
            <w:r w:rsidRPr="007D25A5">
              <w:rPr>
                <w:rFonts w:ascii="Arial" w:eastAsia="Arial" w:hAnsi="Arial" w:cs="Arial"/>
                <w:sz w:val="24"/>
                <w:szCs w:val="24"/>
              </w:rPr>
              <w:t>In progress</w:t>
            </w:r>
          </w:p>
        </w:tc>
      </w:tr>
      <w:tr w:rsidR="007D25A5" w:rsidRPr="007D25A5" w:rsidTr="000C0226">
        <w:tc>
          <w:tcPr>
            <w:tcW w:w="3539" w:type="dxa"/>
          </w:tcPr>
          <w:p w:rsidR="00CB33E2" w:rsidRPr="007D25A5" w:rsidRDefault="00CB33E2" w:rsidP="007B32AC">
            <w:pPr>
              <w:rPr>
                <w:rFonts w:ascii="Arial" w:hAnsi="Arial" w:cs="Arial"/>
                <w:sz w:val="24"/>
                <w:szCs w:val="24"/>
              </w:rPr>
            </w:pPr>
            <w:r w:rsidRPr="007D25A5">
              <w:rPr>
                <w:rFonts w:ascii="Arial" w:hAnsi="Arial" w:cs="Arial"/>
                <w:sz w:val="24"/>
                <w:szCs w:val="24"/>
              </w:rPr>
              <w:t>Trends and variation in per capita spending on services for adults with learning disabilities by individual Health Boards and Local Authorities for 2012/13, 2013/14 and 2014/15</w:t>
            </w:r>
          </w:p>
          <w:p w:rsidR="00EA0EFA" w:rsidRPr="007D25A5" w:rsidRDefault="00EA0EFA" w:rsidP="007B32AC">
            <w:pPr>
              <w:rPr>
                <w:rFonts w:ascii="Arial" w:hAnsi="Arial" w:cs="Arial"/>
                <w:sz w:val="24"/>
                <w:szCs w:val="24"/>
              </w:rPr>
            </w:pPr>
          </w:p>
          <w:p w:rsidR="00EA0EFA" w:rsidRPr="007D25A5" w:rsidRDefault="007D25A5" w:rsidP="007B32AC">
            <w:pPr>
              <w:rPr>
                <w:rStyle w:val="Hyperlink"/>
                <w:rFonts w:ascii="Arial" w:hAnsi="Arial" w:cs="Arial"/>
                <w:color w:val="auto"/>
                <w:sz w:val="24"/>
                <w:szCs w:val="24"/>
              </w:rPr>
            </w:pPr>
            <w:hyperlink r:id="rId27" w:history="1">
              <w:r w:rsidR="00EA0EFA" w:rsidRPr="007D25A5">
                <w:rPr>
                  <w:rStyle w:val="Hyperlink"/>
                  <w:rFonts w:ascii="Arial" w:hAnsi="Arial" w:cs="Arial"/>
                  <w:color w:val="auto"/>
                  <w:sz w:val="24"/>
                  <w:szCs w:val="24"/>
                </w:rPr>
                <w:t>https://www.sldo.ac.uk/projects/other-h</w:t>
              </w:r>
              <w:r w:rsidR="00EA0EFA" w:rsidRPr="007D25A5">
                <w:rPr>
                  <w:rStyle w:val="Hyperlink"/>
                  <w:rFonts w:ascii="Arial" w:hAnsi="Arial" w:cs="Arial"/>
                  <w:color w:val="auto"/>
                  <w:sz w:val="24"/>
                  <w:szCs w:val="24"/>
                </w:rPr>
                <w:t>e</w:t>
              </w:r>
              <w:r w:rsidR="00EA0EFA" w:rsidRPr="007D25A5">
                <w:rPr>
                  <w:rStyle w:val="Hyperlink"/>
                  <w:rFonts w:ascii="Arial" w:hAnsi="Arial" w:cs="Arial"/>
                  <w:color w:val="auto"/>
                  <w:sz w:val="24"/>
                  <w:szCs w:val="24"/>
                </w:rPr>
                <w:t>alth-determinants/spending-on-services/</w:t>
              </w:r>
            </w:hyperlink>
          </w:p>
          <w:p w:rsidR="007D25A5" w:rsidRPr="007D25A5" w:rsidRDefault="007D25A5" w:rsidP="007B32AC">
            <w:pPr>
              <w:rPr>
                <w:rFonts w:ascii="Arial" w:hAnsi="Arial" w:cs="Arial"/>
                <w:sz w:val="24"/>
                <w:szCs w:val="24"/>
              </w:rPr>
            </w:pPr>
          </w:p>
          <w:p w:rsidR="00CB33E2" w:rsidRPr="007D25A5" w:rsidRDefault="00CB33E2" w:rsidP="007B32AC">
            <w:pPr>
              <w:rPr>
                <w:rFonts w:ascii="Arial" w:hAnsi="Arial" w:cs="Arial"/>
                <w:sz w:val="24"/>
                <w:szCs w:val="24"/>
              </w:rPr>
            </w:pPr>
          </w:p>
        </w:tc>
        <w:tc>
          <w:tcPr>
            <w:tcW w:w="2523" w:type="dxa"/>
          </w:tcPr>
          <w:p w:rsidR="00CB33E2" w:rsidRPr="007D25A5" w:rsidRDefault="00CB33E2" w:rsidP="00481A3D">
            <w:pPr>
              <w:tabs>
                <w:tab w:val="left" w:pos="3168"/>
              </w:tabs>
              <w:rPr>
                <w:rFonts w:ascii="Arial" w:hAnsi="Arial" w:cs="Arial"/>
                <w:sz w:val="24"/>
                <w:szCs w:val="24"/>
              </w:rPr>
            </w:pPr>
            <w:r w:rsidRPr="007D25A5">
              <w:rPr>
                <w:rFonts w:ascii="Arial" w:hAnsi="Arial" w:cs="Arial"/>
                <w:sz w:val="24"/>
                <w:szCs w:val="24"/>
              </w:rPr>
              <w:t>Secondary analysis of data from Information Services Division and NHS National Services Scotland</w:t>
            </w:r>
          </w:p>
        </w:tc>
        <w:tc>
          <w:tcPr>
            <w:tcW w:w="7258" w:type="dxa"/>
          </w:tcPr>
          <w:p w:rsidR="00CB33E2" w:rsidRPr="007D25A5" w:rsidRDefault="00CB33E2" w:rsidP="002861F9">
            <w:pPr>
              <w:tabs>
                <w:tab w:val="left" w:pos="3168"/>
              </w:tabs>
              <w:rPr>
                <w:rFonts w:ascii="Arial" w:hAnsi="Arial" w:cs="Arial"/>
                <w:sz w:val="24"/>
                <w:szCs w:val="24"/>
              </w:rPr>
            </w:pPr>
            <w:r w:rsidRPr="007D25A5">
              <w:rPr>
                <w:rFonts w:ascii="Arial" w:hAnsi="Arial" w:cs="Arial"/>
                <w:sz w:val="24"/>
                <w:szCs w:val="24"/>
              </w:rPr>
              <w:t xml:space="preserve">Any variation will be interpreted through “case” work to understand different population needs and third </w:t>
            </w:r>
            <w:r w:rsidR="00F96A99" w:rsidRPr="007D25A5">
              <w:rPr>
                <w:rFonts w:ascii="Arial" w:hAnsi="Arial" w:cs="Arial"/>
                <w:sz w:val="24"/>
                <w:szCs w:val="24"/>
              </w:rPr>
              <w:t>sector</w:t>
            </w:r>
            <w:r w:rsidRPr="007D25A5">
              <w:rPr>
                <w:rFonts w:ascii="Arial" w:hAnsi="Arial" w:cs="Arial"/>
                <w:sz w:val="24"/>
                <w:szCs w:val="24"/>
              </w:rPr>
              <w:t xml:space="preserve"> provisions</w:t>
            </w:r>
            <w:r w:rsidR="00F96A99" w:rsidRPr="007D25A5">
              <w:rPr>
                <w:rFonts w:ascii="Arial" w:hAnsi="Arial" w:cs="Arial"/>
                <w:sz w:val="24"/>
                <w:szCs w:val="24"/>
              </w:rPr>
              <w:t xml:space="preserve"> in localities</w:t>
            </w:r>
            <w:r w:rsidRPr="007D25A5">
              <w:rPr>
                <w:rFonts w:ascii="Arial" w:hAnsi="Arial" w:cs="Arial"/>
                <w:sz w:val="24"/>
                <w:szCs w:val="24"/>
              </w:rPr>
              <w:t>. Services are changing, and this may impact on trends in expenditure, which will be bench-marked against trends in expenditure for other care groups. This work may provide information to support service planning and design across Scotland.</w:t>
            </w:r>
          </w:p>
          <w:p w:rsidR="007D0B6B" w:rsidRPr="007D25A5" w:rsidRDefault="007D0B6B" w:rsidP="002861F9">
            <w:pPr>
              <w:tabs>
                <w:tab w:val="left" w:pos="3168"/>
              </w:tabs>
              <w:rPr>
                <w:rFonts w:ascii="Arial" w:hAnsi="Arial" w:cs="Arial"/>
                <w:sz w:val="24"/>
                <w:szCs w:val="24"/>
              </w:rPr>
            </w:pPr>
          </w:p>
        </w:tc>
        <w:tc>
          <w:tcPr>
            <w:tcW w:w="1276" w:type="dxa"/>
          </w:tcPr>
          <w:p w:rsidR="00CB33E2" w:rsidRPr="007D25A5" w:rsidRDefault="004E7934" w:rsidP="002861F9">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7B32AC">
            <w:pPr>
              <w:rPr>
                <w:rFonts w:ascii="Arial" w:hAnsi="Arial" w:cs="Arial"/>
                <w:sz w:val="24"/>
                <w:szCs w:val="24"/>
              </w:rPr>
            </w:pPr>
            <w:r w:rsidRPr="007D25A5">
              <w:rPr>
                <w:rFonts w:ascii="Arial" w:hAnsi="Arial" w:cs="Arial"/>
                <w:sz w:val="24"/>
                <w:szCs w:val="24"/>
              </w:rPr>
              <w:t>Mental health and learning disabilities inpatient census 2014 &amp; 2016: Patients with learning disabilities aged 18 and older</w:t>
            </w:r>
          </w:p>
          <w:p w:rsidR="00B725BA" w:rsidRPr="007D25A5" w:rsidRDefault="00B725BA" w:rsidP="007B32AC">
            <w:pPr>
              <w:rPr>
                <w:rFonts w:ascii="Arial" w:hAnsi="Arial" w:cs="Arial"/>
                <w:sz w:val="24"/>
                <w:szCs w:val="24"/>
              </w:rPr>
            </w:pPr>
          </w:p>
          <w:p w:rsidR="00BC54B8" w:rsidRPr="007D25A5" w:rsidRDefault="00984DA1" w:rsidP="007B32AC">
            <w:pPr>
              <w:rPr>
                <w:rFonts w:ascii="Arial" w:hAnsi="Arial" w:cs="Arial"/>
                <w:sz w:val="24"/>
                <w:szCs w:val="24"/>
              </w:rPr>
            </w:pPr>
            <w:hyperlink r:id="rId28" w:history="1">
              <w:r w:rsidRPr="007D25A5">
                <w:rPr>
                  <w:rStyle w:val="Hyperlink"/>
                  <w:rFonts w:ascii="Arial" w:hAnsi="Arial" w:cs="Arial"/>
                  <w:color w:val="auto"/>
                  <w:sz w:val="24"/>
                  <w:szCs w:val="24"/>
                </w:rPr>
                <w:t>https://www.sldo.ac.uk/projects/secondary-healthcare/inpatient-bed-census/</w:t>
              </w:r>
            </w:hyperlink>
          </w:p>
          <w:p w:rsidR="00B725BA" w:rsidRPr="007D25A5" w:rsidRDefault="00B725BA" w:rsidP="007B32AC">
            <w:pPr>
              <w:rPr>
                <w:rFonts w:ascii="Arial" w:hAnsi="Arial" w:cs="Arial"/>
                <w:sz w:val="24"/>
                <w:szCs w:val="24"/>
              </w:rPr>
            </w:pPr>
          </w:p>
        </w:tc>
        <w:tc>
          <w:tcPr>
            <w:tcW w:w="2523" w:type="dxa"/>
          </w:tcPr>
          <w:p w:rsidR="00CB33E2" w:rsidRPr="007D25A5" w:rsidRDefault="00CB33E2" w:rsidP="002861F9">
            <w:pPr>
              <w:tabs>
                <w:tab w:val="left" w:pos="3168"/>
              </w:tabs>
              <w:rPr>
                <w:rFonts w:ascii="Arial" w:hAnsi="Arial" w:cs="Arial"/>
                <w:sz w:val="24"/>
                <w:szCs w:val="24"/>
              </w:rPr>
            </w:pPr>
            <w:r w:rsidRPr="007D25A5">
              <w:rPr>
                <w:rFonts w:ascii="Arial" w:hAnsi="Arial" w:cs="Arial"/>
                <w:sz w:val="24"/>
                <w:szCs w:val="24"/>
              </w:rPr>
              <w:t>Analysis of Scotland’s Mental Health and Learning Disabilities Census 2014 and 2016 (within area and out of area beds)</w:t>
            </w:r>
          </w:p>
        </w:tc>
        <w:tc>
          <w:tcPr>
            <w:tcW w:w="7258" w:type="dxa"/>
          </w:tcPr>
          <w:p w:rsidR="00CB33E2" w:rsidRPr="007D25A5" w:rsidRDefault="00CB33E2" w:rsidP="007B32AC">
            <w:pPr>
              <w:tabs>
                <w:tab w:val="left" w:pos="3168"/>
              </w:tabs>
              <w:rPr>
                <w:rFonts w:ascii="Arial" w:hAnsi="Arial" w:cs="Arial"/>
                <w:sz w:val="24"/>
                <w:szCs w:val="24"/>
              </w:rPr>
            </w:pPr>
            <w:r w:rsidRPr="007D25A5">
              <w:rPr>
                <w:rFonts w:ascii="Arial" w:hAnsi="Arial" w:cs="Arial"/>
                <w:sz w:val="24"/>
                <w:szCs w:val="24"/>
              </w:rPr>
              <w:t xml:space="preserve">Patients with learning disabilities are considerably more likely to be admitted under the mental health act, and to experience delayed discharge compared with other people. This suggests they are more severely ill at the point of admission, and there is a need for concerted action and greater flexibility in planning discharge supports and service redesign. The Census </w:t>
            </w:r>
            <w:r w:rsidR="0065573A" w:rsidRPr="007D25A5">
              <w:rPr>
                <w:rFonts w:ascii="Arial" w:hAnsi="Arial" w:cs="Arial"/>
                <w:sz w:val="24"/>
                <w:szCs w:val="24"/>
              </w:rPr>
              <w:t xml:space="preserve">analysis </w:t>
            </w:r>
            <w:r w:rsidRPr="007D25A5">
              <w:rPr>
                <w:rFonts w:ascii="Arial" w:hAnsi="Arial" w:cs="Arial"/>
                <w:sz w:val="24"/>
                <w:szCs w:val="24"/>
              </w:rPr>
              <w:t>allows progress over time to be assessed.</w:t>
            </w:r>
          </w:p>
          <w:p w:rsidR="00CB33E2" w:rsidRPr="007D25A5" w:rsidRDefault="00CB33E2" w:rsidP="007B32AC">
            <w:pPr>
              <w:tabs>
                <w:tab w:val="left" w:pos="3168"/>
              </w:tabs>
              <w:rPr>
                <w:rFonts w:ascii="Arial" w:hAnsi="Arial" w:cs="Arial"/>
                <w:sz w:val="24"/>
                <w:szCs w:val="24"/>
              </w:rPr>
            </w:pPr>
          </w:p>
        </w:tc>
        <w:tc>
          <w:tcPr>
            <w:tcW w:w="1276" w:type="dxa"/>
          </w:tcPr>
          <w:p w:rsidR="00CB33E2" w:rsidRPr="007D25A5" w:rsidRDefault="004E7934" w:rsidP="007B32AC">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3D3E19">
            <w:pPr>
              <w:rPr>
                <w:rFonts w:ascii="Arial" w:hAnsi="Arial" w:cs="Arial"/>
                <w:sz w:val="24"/>
                <w:szCs w:val="24"/>
              </w:rPr>
            </w:pPr>
            <w:r w:rsidRPr="007D25A5">
              <w:rPr>
                <w:rFonts w:ascii="Arial" w:hAnsi="Arial" w:cs="Arial"/>
                <w:sz w:val="24"/>
                <w:szCs w:val="24"/>
              </w:rPr>
              <w:t>Changes in living circumstances and impact on health of young people and adults with learning disabilities and young people and adults with autism 1991-2011</w:t>
            </w:r>
          </w:p>
          <w:p w:rsidR="008A0A23" w:rsidRPr="007D25A5" w:rsidRDefault="008A0A23" w:rsidP="003D3E19">
            <w:pPr>
              <w:rPr>
                <w:rFonts w:ascii="Arial" w:hAnsi="Arial" w:cs="Arial"/>
                <w:sz w:val="24"/>
                <w:szCs w:val="24"/>
              </w:rPr>
            </w:pPr>
          </w:p>
          <w:p w:rsidR="008A0A23" w:rsidRPr="007D25A5" w:rsidRDefault="00984DA1" w:rsidP="003D3E19">
            <w:pPr>
              <w:rPr>
                <w:rFonts w:ascii="Arial" w:hAnsi="Arial" w:cs="Arial"/>
                <w:sz w:val="24"/>
                <w:szCs w:val="24"/>
              </w:rPr>
            </w:pPr>
            <w:hyperlink r:id="rId29" w:history="1">
              <w:r w:rsidRPr="007D25A5">
                <w:rPr>
                  <w:rStyle w:val="Hyperlink"/>
                  <w:rFonts w:ascii="Arial" w:hAnsi="Arial" w:cs="Arial"/>
                  <w:color w:val="auto"/>
                  <w:sz w:val="24"/>
                  <w:szCs w:val="24"/>
                </w:rPr>
                <w:t>https://www.sldo.ac.uk/projects/other-health-determinants/living-circumstances-and-health/</w:t>
              </w:r>
            </w:hyperlink>
          </w:p>
        </w:tc>
        <w:tc>
          <w:tcPr>
            <w:tcW w:w="2523" w:type="dxa"/>
          </w:tcPr>
          <w:p w:rsidR="00CB33E2" w:rsidRPr="007D25A5" w:rsidRDefault="00CB33E2" w:rsidP="00CF45D0">
            <w:pPr>
              <w:tabs>
                <w:tab w:val="left" w:pos="3168"/>
              </w:tabs>
              <w:rPr>
                <w:rFonts w:ascii="Arial" w:hAnsi="Arial" w:cs="Arial"/>
                <w:sz w:val="24"/>
                <w:szCs w:val="24"/>
              </w:rPr>
            </w:pPr>
            <w:r w:rsidRPr="007D25A5">
              <w:rPr>
                <w:rFonts w:ascii="Arial" w:hAnsi="Arial" w:cs="Arial"/>
                <w:sz w:val="24"/>
                <w:szCs w:val="24"/>
              </w:rPr>
              <w:t xml:space="preserve">Secondary analysis using data from the Scottish Longitudinal Survey </w:t>
            </w:r>
          </w:p>
        </w:tc>
        <w:tc>
          <w:tcPr>
            <w:tcW w:w="7258" w:type="dxa"/>
          </w:tcPr>
          <w:p w:rsidR="00CB33E2" w:rsidRPr="007D25A5" w:rsidRDefault="00CB33E2" w:rsidP="004E00FC">
            <w:pPr>
              <w:tabs>
                <w:tab w:val="left" w:pos="3168"/>
              </w:tabs>
              <w:rPr>
                <w:rFonts w:ascii="Arial" w:hAnsi="Arial" w:cs="Arial"/>
                <w:sz w:val="24"/>
                <w:szCs w:val="24"/>
              </w:rPr>
            </w:pPr>
            <w:r w:rsidRPr="007D25A5">
              <w:rPr>
                <w:rFonts w:ascii="Arial" w:hAnsi="Arial" w:cs="Arial"/>
                <w:sz w:val="24"/>
                <w:szCs w:val="24"/>
              </w:rPr>
              <w:t>This study will assess the residential mobility, and types of residence, of people with learning disabilities and people with autism compared with the general population, and its associations with health. There have been considerable changes in policy for people with learning disabilities, and a greater awareness and diagnosis of autism over this 20 year period. We do not know if household compositions and movement is associated with health in these populations, so at present cannot make recommendations on best practice and impact of policy changes. The introduction of self-directed support and health and social care integration may also have h</w:t>
            </w:r>
            <w:r w:rsidR="00FB5DC7" w:rsidRPr="007D25A5">
              <w:rPr>
                <w:rFonts w:ascii="Arial" w:hAnsi="Arial" w:cs="Arial"/>
                <w:sz w:val="24"/>
                <w:szCs w:val="24"/>
              </w:rPr>
              <w:t>ealth outcomes, and</w:t>
            </w:r>
            <w:r w:rsidRPr="007D25A5">
              <w:rPr>
                <w:rFonts w:ascii="Arial" w:hAnsi="Arial" w:cs="Arial"/>
                <w:sz w:val="24"/>
                <w:szCs w:val="24"/>
              </w:rPr>
              <w:t xml:space="preserve"> this study provides baseline measures for further evaluation</w:t>
            </w:r>
            <w:r w:rsidR="00FB5DC7" w:rsidRPr="007D25A5">
              <w:rPr>
                <w:rFonts w:ascii="Arial" w:hAnsi="Arial" w:cs="Arial"/>
                <w:sz w:val="24"/>
                <w:szCs w:val="24"/>
              </w:rPr>
              <w:t xml:space="preserve"> of this</w:t>
            </w:r>
            <w:r w:rsidRPr="007D25A5">
              <w:rPr>
                <w:rFonts w:ascii="Arial" w:hAnsi="Arial" w:cs="Arial"/>
                <w:sz w:val="24"/>
                <w:szCs w:val="24"/>
              </w:rPr>
              <w:t>.</w:t>
            </w:r>
          </w:p>
          <w:p w:rsidR="00CB33E2" w:rsidRPr="007D25A5" w:rsidRDefault="00CB33E2" w:rsidP="004E00FC">
            <w:pPr>
              <w:tabs>
                <w:tab w:val="left" w:pos="3168"/>
              </w:tabs>
              <w:rPr>
                <w:rFonts w:ascii="Arial" w:hAnsi="Arial" w:cs="Arial"/>
                <w:sz w:val="24"/>
                <w:szCs w:val="24"/>
              </w:rPr>
            </w:pPr>
          </w:p>
        </w:tc>
        <w:tc>
          <w:tcPr>
            <w:tcW w:w="1276" w:type="dxa"/>
          </w:tcPr>
          <w:p w:rsidR="00CB33E2" w:rsidRPr="007D25A5" w:rsidRDefault="004E7934" w:rsidP="004E00FC">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4E00FC">
            <w:pPr>
              <w:rPr>
                <w:rFonts w:ascii="Arial" w:hAnsi="Arial" w:cs="Arial"/>
                <w:sz w:val="24"/>
                <w:szCs w:val="24"/>
              </w:rPr>
            </w:pPr>
            <w:r w:rsidRPr="007D25A5">
              <w:rPr>
                <w:rFonts w:ascii="Arial" w:hAnsi="Arial" w:cs="Arial"/>
                <w:sz w:val="24"/>
                <w:szCs w:val="24"/>
              </w:rPr>
              <w:t>What is the effect of transition from school to adulthood on health and wellbeing in young people with learning disabilities?</w:t>
            </w:r>
          </w:p>
          <w:p w:rsidR="00DE555D" w:rsidRPr="007D25A5" w:rsidRDefault="00DE555D" w:rsidP="004E00FC">
            <w:pPr>
              <w:rPr>
                <w:rFonts w:ascii="Arial" w:hAnsi="Arial" w:cs="Arial"/>
                <w:sz w:val="24"/>
                <w:szCs w:val="24"/>
              </w:rPr>
            </w:pPr>
          </w:p>
          <w:p w:rsidR="00DE555D" w:rsidRPr="007D25A5" w:rsidRDefault="007D25A5" w:rsidP="004E00FC">
            <w:pPr>
              <w:rPr>
                <w:rFonts w:ascii="Arial" w:hAnsi="Arial" w:cs="Arial"/>
                <w:sz w:val="24"/>
                <w:szCs w:val="24"/>
              </w:rPr>
            </w:pPr>
            <w:hyperlink r:id="rId30" w:history="1">
              <w:r w:rsidR="00DE555D" w:rsidRPr="007D25A5">
                <w:rPr>
                  <w:rStyle w:val="Hyperlink"/>
                  <w:rFonts w:ascii="Arial" w:hAnsi="Arial" w:cs="Arial"/>
                  <w:color w:val="auto"/>
                  <w:sz w:val="24"/>
                  <w:szCs w:val="24"/>
                </w:rPr>
                <w:t>https://ww</w:t>
              </w:r>
              <w:r w:rsidR="00DE555D" w:rsidRPr="007D25A5">
                <w:rPr>
                  <w:rStyle w:val="Hyperlink"/>
                  <w:rFonts w:ascii="Arial" w:hAnsi="Arial" w:cs="Arial"/>
                  <w:color w:val="auto"/>
                  <w:sz w:val="24"/>
                  <w:szCs w:val="24"/>
                </w:rPr>
                <w:t>w</w:t>
              </w:r>
              <w:r w:rsidR="00DE555D" w:rsidRPr="007D25A5">
                <w:rPr>
                  <w:rStyle w:val="Hyperlink"/>
                  <w:rFonts w:ascii="Arial" w:hAnsi="Arial" w:cs="Arial"/>
                  <w:color w:val="auto"/>
                  <w:sz w:val="24"/>
                  <w:szCs w:val="24"/>
                </w:rPr>
                <w:t>.sldo.ac.uk/projects/children-young-people/transition/</w:t>
              </w:r>
            </w:hyperlink>
          </w:p>
          <w:p w:rsidR="00DE555D" w:rsidRPr="007D25A5" w:rsidRDefault="00DE555D" w:rsidP="004E00FC">
            <w:pPr>
              <w:rPr>
                <w:rFonts w:ascii="Arial" w:hAnsi="Arial" w:cs="Arial"/>
                <w:sz w:val="24"/>
                <w:szCs w:val="24"/>
              </w:rPr>
            </w:pPr>
          </w:p>
        </w:tc>
        <w:tc>
          <w:tcPr>
            <w:tcW w:w="2523" w:type="dxa"/>
          </w:tcPr>
          <w:p w:rsidR="00CB33E2" w:rsidRPr="007D25A5" w:rsidRDefault="00FB5DC7" w:rsidP="00B96122">
            <w:pPr>
              <w:tabs>
                <w:tab w:val="left" w:pos="3168"/>
              </w:tabs>
              <w:rPr>
                <w:rFonts w:ascii="Arial" w:hAnsi="Arial" w:cs="Arial"/>
                <w:sz w:val="24"/>
                <w:szCs w:val="24"/>
              </w:rPr>
            </w:pPr>
            <w:r w:rsidRPr="007D25A5">
              <w:rPr>
                <w:rFonts w:ascii="Arial" w:hAnsi="Arial" w:cs="Arial"/>
                <w:sz w:val="24"/>
                <w:szCs w:val="24"/>
              </w:rPr>
              <w:t xml:space="preserve">Systematic </w:t>
            </w:r>
            <w:r w:rsidR="00CB33E2" w:rsidRPr="007D25A5">
              <w:rPr>
                <w:rFonts w:ascii="Arial" w:hAnsi="Arial" w:cs="Arial"/>
                <w:sz w:val="24"/>
                <w:szCs w:val="24"/>
              </w:rPr>
              <w:t xml:space="preserve">review </w:t>
            </w:r>
          </w:p>
        </w:tc>
        <w:tc>
          <w:tcPr>
            <w:tcW w:w="7258" w:type="dxa"/>
          </w:tcPr>
          <w:p w:rsidR="00CB33E2" w:rsidRPr="007D25A5" w:rsidRDefault="00CB33E2" w:rsidP="004E00FC">
            <w:pPr>
              <w:tabs>
                <w:tab w:val="left" w:pos="3168"/>
              </w:tabs>
              <w:rPr>
                <w:rFonts w:ascii="Arial" w:hAnsi="Arial" w:cs="Arial"/>
                <w:sz w:val="24"/>
                <w:szCs w:val="24"/>
              </w:rPr>
            </w:pPr>
            <w:r w:rsidRPr="007D25A5">
              <w:rPr>
                <w:rFonts w:ascii="Arial" w:hAnsi="Arial" w:cs="Arial"/>
                <w:sz w:val="24"/>
                <w:szCs w:val="24"/>
              </w:rPr>
              <w:t xml:space="preserve">We found issues related to obesity, sexual health and social conflict over transition. However, the evidence base was small and had considerable gaps, despite parental concerns </w:t>
            </w:r>
            <w:r w:rsidR="00FB5DC7" w:rsidRPr="007D25A5">
              <w:rPr>
                <w:rFonts w:ascii="Arial" w:hAnsi="Arial" w:cs="Arial"/>
                <w:sz w:val="24"/>
                <w:szCs w:val="24"/>
              </w:rPr>
              <w:t xml:space="preserve">on transition </w:t>
            </w:r>
            <w:r w:rsidRPr="007D25A5">
              <w:rPr>
                <w:rFonts w:ascii="Arial" w:hAnsi="Arial" w:cs="Arial"/>
                <w:sz w:val="24"/>
                <w:szCs w:val="24"/>
              </w:rPr>
              <w:t>having been expressed for many years. The study findings have identified areas for further work to build upon what is already known, and to address gaps.</w:t>
            </w:r>
          </w:p>
          <w:p w:rsidR="00CB33E2" w:rsidRPr="007D25A5" w:rsidRDefault="00CB33E2" w:rsidP="004E00FC">
            <w:pPr>
              <w:tabs>
                <w:tab w:val="left" w:pos="3168"/>
              </w:tabs>
              <w:rPr>
                <w:rFonts w:ascii="Arial" w:hAnsi="Arial" w:cs="Arial"/>
                <w:sz w:val="24"/>
                <w:szCs w:val="24"/>
              </w:rPr>
            </w:pPr>
          </w:p>
        </w:tc>
        <w:tc>
          <w:tcPr>
            <w:tcW w:w="1276" w:type="dxa"/>
          </w:tcPr>
          <w:p w:rsidR="00CB33E2" w:rsidRPr="007D25A5" w:rsidRDefault="004E7934" w:rsidP="004E00FC">
            <w:pPr>
              <w:tabs>
                <w:tab w:val="left" w:pos="3168"/>
              </w:tabs>
              <w:rPr>
                <w:rFonts w:ascii="Arial" w:hAnsi="Arial" w:cs="Arial"/>
                <w:sz w:val="24"/>
                <w:szCs w:val="24"/>
              </w:rPr>
            </w:pPr>
            <w:r w:rsidRPr="007D25A5">
              <w:rPr>
                <w:rFonts w:ascii="Arial" w:hAnsi="Arial" w:cs="Arial"/>
                <w:sz w:val="24"/>
                <w:szCs w:val="24"/>
              </w:rPr>
              <w:t>Dissemin-ating</w:t>
            </w:r>
          </w:p>
        </w:tc>
      </w:tr>
      <w:tr w:rsidR="007D25A5" w:rsidRPr="007D25A5" w:rsidTr="000C0226">
        <w:tc>
          <w:tcPr>
            <w:tcW w:w="3539" w:type="dxa"/>
          </w:tcPr>
          <w:p w:rsidR="00CB33E2" w:rsidRPr="007D25A5" w:rsidRDefault="00CB33E2" w:rsidP="004E00FC">
            <w:pPr>
              <w:rPr>
                <w:rFonts w:ascii="Arial" w:hAnsi="Arial" w:cs="Arial"/>
                <w:sz w:val="24"/>
                <w:szCs w:val="24"/>
              </w:rPr>
            </w:pPr>
            <w:r w:rsidRPr="007D25A5">
              <w:rPr>
                <w:rFonts w:ascii="Arial" w:hAnsi="Arial" w:cs="Arial"/>
                <w:sz w:val="24"/>
                <w:szCs w:val="24"/>
              </w:rPr>
              <w:t>The impact of transition from school to adulthood on health and wellbeing in young people with learning disabilities</w:t>
            </w:r>
          </w:p>
          <w:p w:rsidR="00B666B1" w:rsidRPr="007D25A5" w:rsidRDefault="00B666B1" w:rsidP="004E00FC">
            <w:pPr>
              <w:rPr>
                <w:rFonts w:ascii="Arial" w:hAnsi="Arial" w:cs="Arial"/>
                <w:sz w:val="24"/>
                <w:szCs w:val="24"/>
              </w:rPr>
            </w:pPr>
          </w:p>
          <w:p w:rsidR="00B666B1" w:rsidRPr="007D25A5" w:rsidRDefault="007D25A5" w:rsidP="004E00FC">
            <w:pPr>
              <w:rPr>
                <w:rFonts w:ascii="Arial" w:hAnsi="Arial" w:cs="Arial"/>
                <w:sz w:val="24"/>
                <w:szCs w:val="24"/>
              </w:rPr>
            </w:pPr>
            <w:hyperlink r:id="rId31" w:history="1">
              <w:r w:rsidR="00B666B1" w:rsidRPr="007D25A5">
                <w:rPr>
                  <w:rStyle w:val="Hyperlink"/>
                  <w:rFonts w:ascii="Arial" w:hAnsi="Arial" w:cs="Arial"/>
                  <w:color w:val="auto"/>
                  <w:sz w:val="24"/>
                  <w:szCs w:val="24"/>
                </w:rPr>
                <w:t>https://www.sldo.ac.uk/projects/children-young-peopl</w:t>
              </w:r>
              <w:r w:rsidR="00B666B1" w:rsidRPr="007D25A5">
                <w:rPr>
                  <w:rStyle w:val="Hyperlink"/>
                  <w:rFonts w:ascii="Arial" w:hAnsi="Arial" w:cs="Arial"/>
                  <w:color w:val="auto"/>
                  <w:sz w:val="24"/>
                  <w:szCs w:val="24"/>
                </w:rPr>
                <w:t>e</w:t>
              </w:r>
              <w:r w:rsidR="00B666B1" w:rsidRPr="007D25A5">
                <w:rPr>
                  <w:rStyle w:val="Hyperlink"/>
                  <w:rFonts w:ascii="Arial" w:hAnsi="Arial" w:cs="Arial"/>
                  <w:color w:val="auto"/>
                  <w:sz w:val="24"/>
                  <w:szCs w:val="24"/>
                </w:rPr>
                <w:t>/transition/</w:t>
              </w:r>
            </w:hyperlink>
          </w:p>
        </w:tc>
        <w:tc>
          <w:tcPr>
            <w:tcW w:w="2523" w:type="dxa"/>
          </w:tcPr>
          <w:p w:rsidR="00CB33E2" w:rsidRPr="007D25A5" w:rsidRDefault="00CB33E2" w:rsidP="00D22657">
            <w:pPr>
              <w:tabs>
                <w:tab w:val="left" w:pos="3168"/>
              </w:tabs>
              <w:rPr>
                <w:rFonts w:ascii="Arial" w:hAnsi="Arial" w:cs="Arial"/>
                <w:sz w:val="24"/>
                <w:szCs w:val="24"/>
              </w:rPr>
            </w:pPr>
            <w:r w:rsidRPr="007D25A5">
              <w:rPr>
                <w:rFonts w:ascii="Arial" w:hAnsi="Arial" w:cs="Arial"/>
                <w:sz w:val="24"/>
                <w:szCs w:val="24"/>
              </w:rPr>
              <w:t>Secondary analysis of data from Scotland’s Census 2011, and a qualitative study</w:t>
            </w:r>
          </w:p>
        </w:tc>
        <w:tc>
          <w:tcPr>
            <w:tcW w:w="7258" w:type="dxa"/>
          </w:tcPr>
          <w:p w:rsidR="00CB33E2" w:rsidRPr="007D25A5" w:rsidRDefault="00CB33E2" w:rsidP="00D22657">
            <w:pPr>
              <w:tabs>
                <w:tab w:val="left" w:pos="3168"/>
              </w:tabs>
              <w:rPr>
                <w:rFonts w:ascii="Arial" w:hAnsi="Arial" w:cs="Arial"/>
                <w:sz w:val="24"/>
                <w:szCs w:val="24"/>
              </w:rPr>
            </w:pPr>
            <w:r w:rsidRPr="007D25A5">
              <w:rPr>
                <w:rFonts w:ascii="Arial" w:hAnsi="Arial" w:cs="Arial"/>
                <w:sz w:val="24"/>
                <w:szCs w:val="24"/>
              </w:rPr>
              <w:t xml:space="preserve">Both physical and mental health are poorer in young people with learning disabilities aged 16-24 than those without learning disabilities. </w:t>
            </w:r>
          </w:p>
          <w:p w:rsidR="00370A7F" w:rsidRPr="007D25A5" w:rsidRDefault="00370A7F" w:rsidP="00D22657">
            <w:pPr>
              <w:tabs>
                <w:tab w:val="left" w:pos="3168"/>
              </w:tabs>
              <w:rPr>
                <w:rFonts w:ascii="Arial" w:hAnsi="Arial" w:cs="Arial"/>
                <w:sz w:val="24"/>
                <w:szCs w:val="24"/>
              </w:rPr>
            </w:pPr>
          </w:p>
          <w:p w:rsidR="00CB33E2" w:rsidRPr="007D25A5" w:rsidRDefault="00CB33E2" w:rsidP="00D22657">
            <w:pPr>
              <w:tabs>
                <w:tab w:val="left" w:pos="3168"/>
              </w:tabs>
              <w:rPr>
                <w:rFonts w:ascii="Arial" w:hAnsi="Arial" w:cs="Arial"/>
                <w:sz w:val="24"/>
                <w:szCs w:val="24"/>
              </w:rPr>
            </w:pPr>
            <w:r w:rsidRPr="007D25A5">
              <w:rPr>
                <w:rFonts w:ascii="Arial" w:hAnsi="Arial" w:cs="Arial"/>
                <w:sz w:val="24"/>
                <w:szCs w:val="24"/>
              </w:rPr>
              <w:t>Themes identified were emerging mental health problems including anxiety and challenging behaviours, with lack of support during transition and limited appropriate options for post-school activities contributing. Further analysis is underway to identify areas that could be recommended to improve transition planning.</w:t>
            </w:r>
          </w:p>
          <w:p w:rsidR="00B725BA" w:rsidRPr="007D25A5" w:rsidRDefault="00B725BA" w:rsidP="00D22657">
            <w:pPr>
              <w:tabs>
                <w:tab w:val="left" w:pos="3168"/>
              </w:tabs>
              <w:rPr>
                <w:rFonts w:ascii="Arial" w:hAnsi="Arial" w:cs="Arial"/>
                <w:sz w:val="24"/>
                <w:szCs w:val="24"/>
              </w:rPr>
            </w:pPr>
          </w:p>
          <w:p w:rsidR="00CB33E2" w:rsidRPr="007D25A5" w:rsidRDefault="00CB33E2" w:rsidP="00D22657">
            <w:pPr>
              <w:tabs>
                <w:tab w:val="left" w:pos="3168"/>
              </w:tabs>
              <w:rPr>
                <w:rFonts w:ascii="Arial" w:hAnsi="Arial" w:cs="Arial"/>
                <w:sz w:val="24"/>
                <w:szCs w:val="24"/>
              </w:rPr>
            </w:pPr>
            <w:r w:rsidRPr="007D25A5">
              <w:rPr>
                <w:rFonts w:ascii="Arial" w:hAnsi="Arial" w:cs="Arial"/>
                <w:sz w:val="24"/>
                <w:szCs w:val="24"/>
              </w:rPr>
              <w:t xml:space="preserve">  </w:t>
            </w:r>
          </w:p>
        </w:tc>
        <w:tc>
          <w:tcPr>
            <w:tcW w:w="1276" w:type="dxa"/>
          </w:tcPr>
          <w:p w:rsidR="00CB33E2" w:rsidRPr="007D25A5" w:rsidRDefault="004E7934" w:rsidP="00D22657">
            <w:pPr>
              <w:tabs>
                <w:tab w:val="left" w:pos="3168"/>
              </w:tabs>
              <w:rPr>
                <w:rFonts w:ascii="Arial" w:hAnsi="Arial" w:cs="Arial"/>
                <w:sz w:val="24"/>
                <w:szCs w:val="24"/>
              </w:rPr>
            </w:pPr>
            <w:r w:rsidRPr="007D25A5">
              <w:rPr>
                <w:rFonts w:ascii="Arial" w:hAnsi="Arial" w:cs="Arial"/>
                <w:sz w:val="24"/>
                <w:szCs w:val="24"/>
              </w:rPr>
              <w:t>In progress</w:t>
            </w:r>
          </w:p>
        </w:tc>
      </w:tr>
      <w:tr w:rsidR="007D25A5" w:rsidRPr="007D25A5" w:rsidTr="000C0226">
        <w:tc>
          <w:tcPr>
            <w:tcW w:w="3539" w:type="dxa"/>
          </w:tcPr>
          <w:p w:rsidR="00CB33E2" w:rsidRPr="007D25A5" w:rsidRDefault="00CB33E2" w:rsidP="004E00FC">
            <w:pPr>
              <w:rPr>
                <w:rFonts w:ascii="Arial" w:hAnsi="Arial" w:cs="Arial"/>
                <w:sz w:val="24"/>
                <w:szCs w:val="24"/>
              </w:rPr>
            </w:pPr>
            <w:r w:rsidRPr="007D25A5">
              <w:rPr>
                <w:rFonts w:ascii="Arial" w:hAnsi="Arial" w:cs="Arial"/>
                <w:sz w:val="24"/>
                <w:szCs w:val="24"/>
              </w:rPr>
              <w:t>Impact of hate crimes and targeted violence on health and wellbeing of people with learning disabilities</w:t>
            </w:r>
          </w:p>
          <w:p w:rsidR="00BC6FF4" w:rsidRPr="007D25A5" w:rsidRDefault="00BC6FF4" w:rsidP="004E00FC">
            <w:pPr>
              <w:rPr>
                <w:rFonts w:ascii="Arial" w:hAnsi="Arial" w:cs="Arial"/>
                <w:sz w:val="24"/>
                <w:szCs w:val="24"/>
              </w:rPr>
            </w:pPr>
          </w:p>
          <w:p w:rsidR="00BC6FF4" w:rsidRPr="007D25A5" w:rsidRDefault="007D25A5" w:rsidP="004E00FC">
            <w:pPr>
              <w:rPr>
                <w:rFonts w:ascii="Arial" w:hAnsi="Arial" w:cs="Arial"/>
                <w:sz w:val="24"/>
                <w:szCs w:val="24"/>
              </w:rPr>
            </w:pPr>
            <w:hyperlink r:id="rId32" w:history="1">
              <w:r w:rsidR="00BC6FF4" w:rsidRPr="007D25A5">
                <w:rPr>
                  <w:rStyle w:val="Hyperlink"/>
                  <w:rFonts w:ascii="Arial" w:hAnsi="Arial" w:cs="Arial"/>
                  <w:color w:val="auto"/>
                  <w:sz w:val="24"/>
                  <w:szCs w:val="24"/>
                </w:rPr>
                <w:t>https://www.sldo.ac.uk/projects/oth</w:t>
              </w:r>
              <w:r w:rsidR="00BC6FF4" w:rsidRPr="007D25A5">
                <w:rPr>
                  <w:rStyle w:val="Hyperlink"/>
                  <w:rFonts w:ascii="Arial" w:hAnsi="Arial" w:cs="Arial"/>
                  <w:color w:val="auto"/>
                  <w:sz w:val="24"/>
                  <w:szCs w:val="24"/>
                </w:rPr>
                <w:t>e</w:t>
              </w:r>
              <w:r w:rsidR="00BC6FF4" w:rsidRPr="007D25A5">
                <w:rPr>
                  <w:rStyle w:val="Hyperlink"/>
                  <w:rFonts w:ascii="Arial" w:hAnsi="Arial" w:cs="Arial"/>
                  <w:color w:val="auto"/>
                  <w:sz w:val="24"/>
                  <w:szCs w:val="24"/>
                </w:rPr>
                <w:t>r-health-determinants/hate-crime/</w:t>
              </w:r>
            </w:hyperlink>
          </w:p>
        </w:tc>
        <w:tc>
          <w:tcPr>
            <w:tcW w:w="2523" w:type="dxa"/>
          </w:tcPr>
          <w:p w:rsidR="00CB33E2" w:rsidRPr="007D25A5" w:rsidRDefault="00CB33E2" w:rsidP="00CB33E2">
            <w:pPr>
              <w:pStyle w:val="NormalWeb"/>
              <w:shd w:val="clear" w:color="auto" w:fill="FFFFFF"/>
              <w:spacing w:before="0" w:beforeAutospacing="0" w:after="0" w:afterAutospacing="0"/>
              <w:rPr>
                <w:rFonts w:ascii="Arial" w:hAnsi="Arial" w:cs="Arial"/>
                <w:spacing w:val="-5"/>
              </w:rPr>
            </w:pPr>
            <w:r w:rsidRPr="007D25A5">
              <w:rPr>
                <w:rFonts w:ascii="Arial" w:hAnsi="Arial" w:cs="Arial"/>
                <w:spacing w:val="-5"/>
              </w:rPr>
              <w:t xml:space="preserve">Narrative review and qualitative study with people with learning disabilities, </w:t>
            </w:r>
            <w:r w:rsidR="00FB5DC7" w:rsidRPr="007D25A5">
              <w:rPr>
                <w:rFonts w:ascii="Arial" w:hAnsi="Arial" w:cs="Arial"/>
                <w:spacing w:val="-5"/>
              </w:rPr>
              <w:t xml:space="preserve">their </w:t>
            </w:r>
            <w:r w:rsidRPr="007D25A5">
              <w:rPr>
                <w:rFonts w:ascii="Arial" w:hAnsi="Arial" w:cs="Arial"/>
                <w:spacing w:val="-5"/>
              </w:rPr>
              <w:t xml:space="preserve">families, carers, representatives from disabled people’s organisations, and Police Scotland </w:t>
            </w:r>
          </w:p>
          <w:p w:rsidR="007A1D9C" w:rsidRPr="007D25A5" w:rsidRDefault="007A1D9C" w:rsidP="00CB33E2">
            <w:pPr>
              <w:pStyle w:val="NormalWeb"/>
              <w:shd w:val="clear" w:color="auto" w:fill="FFFFFF"/>
              <w:spacing w:before="0" w:beforeAutospacing="0" w:after="0" w:afterAutospacing="0"/>
              <w:rPr>
                <w:rFonts w:ascii="Arial" w:hAnsi="Arial" w:cs="Arial"/>
              </w:rPr>
            </w:pPr>
          </w:p>
        </w:tc>
        <w:tc>
          <w:tcPr>
            <w:tcW w:w="7258" w:type="dxa"/>
          </w:tcPr>
          <w:p w:rsidR="00CB33E2" w:rsidRPr="007D25A5" w:rsidRDefault="00CB33E2" w:rsidP="00CB33E2">
            <w:pPr>
              <w:tabs>
                <w:tab w:val="left" w:pos="3168"/>
              </w:tabs>
              <w:rPr>
                <w:rFonts w:ascii="Arial" w:hAnsi="Arial" w:cs="Arial"/>
                <w:sz w:val="24"/>
                <w:szCs w:val="24"/>
              </w:rPr>
            </w:pPr>
            <w:r w:rsidRPr="007D25A5">
              <w:rPr>
                <w:rFonts w:ascii="Arial" w:hAnsi="Arial" w:cs="Arial"/>
                <w:sz w:val="24"/>
                <w:szCs w:val="24"/>
              </w:rPr>
              <w:t xml:space="preserve">Issues with police coding of hate crimes have been identified </w:t>
            </w:r>
            <w:r w:rsidR="00FB5DC7" w:rsidRPr="007D25A5">
              <w:rPr>
                <w:rFonts w:ascii="Arial" w:hAnsi="Arial" w:cs="Arial"/>
                <w:sz w:val="24"/>
                <w:szCs w:val="24"/>
              </w:rPr>
              <w:t>and reported</w:t>
            </w:r>
            <w:r w:rsidRPr="007D25A5">
              <w:rPr>
                <w:rFonts w:ascii="Arial" w:hAnsi="Arial" w:cs="Arial"/>
                <w:sz w:val="24"/>
                <w:szCs w:val="24"/>
              </w:rPr>
              <w:t>. Themes will be identified and drawn together to identify the extent and impact of hate c</w:t>
            </w:r>
            <w:bookmarkStart w:id="0" w:name="_GoBack"/>
            <w:bookmarkEnd w:id="0"/>
            <w:r w:rsidRPr="007D25A5">
              <w:rPr>
                <w:rFonts w:ascii="Arial" w:hAnsi="Arial" w:cs="Arial"/>
                <w:sz w:val="24"/>
                <w:szCs w:val="24"/>
              </w:rPr>
              <w:t xml:space="preserve">rimes. </w:t>
            </w:r>
          </w:p>
        </w:tc>
        <w:tc>
          <w:tcPr>
            <w:tcW w:w="1276" w:type="dxa"/>
          </w:tcPr>
          <w:p w:rsidR="00CB33E2" w:rsidRPr="007D25A5" w:rsidRDefault="004E7934" w:rsidP="00CB33E2">
            <w:pPr>
              <w:tabs>
                <w:tab w:val="left" w:pos="3168"/>
              </w:tabs>
              <w:rPr>
                <w:rFonts w:ascii="Arial" w:hAnsi="Arial" w:cs="Arial"/>
                <w:sz w:val="24"/>
                <w:szCs w:val="24"/>
              </w:rPr>
            </w:pPr>
            <w:r w:rsidRPr="007D25A5">
              <w:rPr>
                <w:rFonts w:ascii="Arial" w:hAnsi="Arial" w:cs="Arial"/>
                <w:sz w:val="24"/>
                <w:szCs w:val="24"/>
              </w:rPr>
              <w:t>In progress</w:t>
            </w:r>
          </w:p>
        </w:tc>
      </w:tr>
    </w:tbl>
    <w:p w:rsidR="00FC542A" w:rsidRPr="007D25A5" w:rsidRDefault="00FC542A" w:rsidP="00FC542A">
      <w:pPr>
        <w:tabs>
          <w:tab w:val="left" w:pos="3168"/>
        </w:tabs>
        <w:rPr>
          <w:rFonts w:ascii="Arial" w:hAnsi="Arial" w:cs="Arial"/>
          <w:sz w:val="24"/>
          <w:szCs w:val="24"/>
        </w:rPr>
      </w:pPr>
    </w:p>
    <w:sectPr w:rsidR="00FC542A" w:rsidRPr="007D25A5" w:rsidSect="004C5E09">
      <w:footerReference w:type="default" r:id="rId3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5E" w:rsidRDefault="00933E5E" w:rsidP="004D1E36">
      <w:pPr>
        <w:spacing w:after="0" w:line="240" w:lineRule="auto"/>
      </w:pPr>
      <w:r>
        <w:separator/>
      </w:r>
    </w:p>
  </w:endnote>
  <w:endnote w:type="continuationSeparator" w:id="0">
    <w:p w:rsidR="00933E5E" w:rsidRDefault="00933E5E" w:rsidP="004D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988"/>
      <w:docPartObj>
        <w:docPartGallery w:val="Page Numbers (Bottom of Page)"/>
        <w:docPartUnique/>
      </w:docPartObj>
    </w:sdtPr>
    <w:sdtEndPr/>
    <w:sdtContent>
      <w:p w:rsidR="004D1E36" w:rsidRDefault="003E1189">
        <w:pPr>
          <w:pStyle w:val="Footer"/>
          <w:jc w:val="right"/>
        </w:pPr>
        <w:r>
          <w:fldChar w:fldCharType="begin"/>
        </w:r>
        <w:r>
          <w:instrText xml:space="preserve"> PAGE   \* MERGEFORMAT </w:instrText>
        </w:r>
        <w:r>
          <w:fldChar w:fldCharType="separate"/>
        </w:r>
        <w:r w:rsidR="007D25A5">
          <w:rPr>
            <w:noProof/>
          </w:rPr>
          <w:t>2</w:t>
        </w:r>
        <w:r>
          <w:rPr>
            <w:noProof/>
          </w:rPr>
          <w:fldChar w:fldCharType="end"/>
        </w:r>
      </w:p>
    </w:sdtContent>
  </w:sdt>
  <w:p w:rsidR="004D1E36" w:rsidRDefault="004D1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5E" w:rsidRDefault="00933E5E" w:rsidP="004D1E36">
      <w:pPr>
        <w:spacing w:after="0" w:line="240" w:lineRule="auto"/>
      </w:pPr>
      <w:r>
        <w:separator/>
      </w:r>
    </w:p>
  </w:footnote>
  <w:footnote w:type="continuationSeparator" w:id="0">
    <w:p w:rsidR="00933E5E" w:rsidRDefault="00933E5E" w:rsidP="004D1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B082C"/>
    <w:multiLevelType w:val="hybridMultilevel"/>
    <w:tmpl w:val="47E4640A"/>
    <w:lvl w:ilvl="0" w:tplc="E054A166">
      <w:start w:val="2009"/>
      <w:numFmt w:val="bullet"/>
      <w:lvlText w:val="-"/>
      <w:lvlJc w:val="left"/>
      <w:pPr>
        <w:ind w:left="720" w:hanging="360"/>
      </w:pPr>
      <w:rPr>
        <w:rFonts w:ascii="Verdana" w:eastAsiaTheme="minorHAnsi" w:hAnsi="Verdana" w:cstheme="minorBid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2A"/>
    <w:rsid w:val="00000E90"/>
    <w:rsid w:val="00031FAB"/>
    <w:rsid w:val="000871E5"/>
    <w:rsid w:val="000B35FC"/>
    <w:rsid w:val="000B5403"/>
    <w:rsid w:val="000C0226"/>
    <w:rsid w:val="000C1ADE"/>
    <w:rsid w:val="000E4511"/>
    <w:rsid w:val="000F3D08"/>
    <w:rsid w:val="000F6554"/>
    <w:rsid w:val="00103D79"/>
    <w:rsid w:val="00107619"/>
    <w:rsid w:val="00113CB6"/>
    <w:rsid w:val="00114D48"/>
    <w:rsid w:val="00142C00"/>
    <w:rsid w:val="00155BB8"/>
    <w:rsid w:val="00155F76"/>
    <w:rsid w:val="00193997"/>
    <w:rsid w:val="00195473"/>
    <w:rsid w:val="0019661F"/>
    <w:rsid w:val="001A2806"/>
    <w:rsid w:val="001E0B5E"/>
    <w:rsid w:val="00215FC9"/>
    <w:rsid w:val="00226474"/>
    <w:rsid w:val="00233F87"/>
    <w:rsid w:val="002861F9"/>
    <w:rsid w:val="0029201D"/>
    <w:rsid w:val="002A3DB9"/>
    <w:rsid w:val="002D27B0"/>
    <w:rsid w:val="002D70DD"/>
    <w:rsid w:val="002E72EF"/>
    <w:rsid w:val="002F6552"/>
    <w:rsid w:val="00321179"/>
    <w:rsid w:val="0032403F"/>
    <w:rsid w:val="00325264"/>
    <w:rsid w:val="00326F64"/>
    <w:rsid w:val="003444B2"/>
    <w:rsid w:val="00370A7F"/>
    <w:rsid w:val="003C7F39"/>
    <w:rsid w:val="003D3E19"/>
    <w:rsid w:val="003E1189"/>
    <w:rsid w:val="003F6CD9"/>
    <w:rsid w:val="00401837"/>
    <w:rsid w:val="00421D55"/>
    <w:rsid w:val="004443C0"/>
    <w:rsid w:val="00447A9F"/>
    <w:rsid w:val="00481A3D"/>
    <w:rsid w:val="004830D1"/>
    <w:rsid w:val="0049594F"/>
    <w:rsid w:val="004C5E09"/>
    <w:rsid w:val="004C7B20"/>
    <w:rsid w:val="004D1CB3"/>
    <w:rsid w:val="004D1E36"/>
    <w:rsid w:val="004E7934"/>
    <w:rsid w:val="00500CE8"/>
    <w:rsid w:val="00515D8F"/>
    <w:rsid w:val="00542B9B"/>
    <w:rsid w:val="005477E9"/>
    <w:rsid w:val="00577327"/>
    <w:rsid w:val="005C7A42"/>
    <w:rsid w:val="005E5D36"/>
    <w:rsid w:val="00600CD5"/>
    <w:rsid w:val="00604B28"/>
    <w:rsid w:val="00614DAE"/>
    <w:rsid w:val="00622762"/>
    <w:rsid w:val="006241CE"/>
    <w:rsid w:val="00626DF9"/>
    <w:rsid w:val="0065573A"/>
    <w:rsid w:val="00676A16"/>
    <w:rsid w:val="00693361"/>
    <w:rsid w:val="006E2EE1"/>
    <w:rsid w:val="00707ECD"/>
    <w:rsid w:val="00731DCD"/>
    <w:rsid w:val="00737254"/>
    <w:rsid w:val="007446EA"/>
    <w:rsid w:val="0075273B"/>
    <w:rsid w:val="00773192"/>
    <w:rsid w:val="007A1D9C"/>
    <w:rsid w:val="007D0B6B"/>
    <w:rsid w:val="007D25A5"/>
    <w:rsid w:val="007D28E7"/>
    <w:rsid w:val="00802C50"/>
    <w:rsid w:val="008876B9"/>
    <w:rsid w:val="008A0A23"/>
    <w:rsid w:val="008A683F"/>
    <w:rsid w:val="008E06C8"/>
    <w:rsid w:val="008E1FA3"/>
    <w:rsid w:val="00905EDC"/>
    <w:rsid w:val="009136AA"/>
    <w:rsid w:val="009303F7"/>
    <w:rsid w:val="00933E5E"/>
    <w:rsid w:val="009445C2"/>
    <w:rsid w:val="00984DA1"/>
    <w:rsid w:val="00985CFE"/>
    <w:rsid w:val="009869A8"/>
    <w:rsid w:val="009B0CAF"/>
    <w:rsid w:val="009E3A54"/>
    <w:rsid w:val="009E7442"/>
    <w:rsid w:val="009F27E4"/>
    <w:rsid w:val="009F6200"/>
    <w:rsid w:val="00A20A09"/>
    <w:rsid w:val="00A468A8"/>
    <w:rsid w:val="00A47A9D"/>
    <w:rsid w:val="00A60106"/>
    <w:rsid w:val="00A63DB3"/>
    <w:rsid w:val="00AA39C3"/>
    <w:rsid w:val="00AE29AD"/>
    <w:rsid w:val="00B15702"/>
    <w:rsid w:val="00B666B1"/>
    <w:rsid w:val="00B725BA"/>
    <w:rsid w:val="00B77A6F"/>
    <w:rsid w:val="00B85230"/>
    <w:rsid w:val="00B96122"/>
    <w:rsid w:val="00BA6981"/>
    <w:rsid w:val="00BC3120"/>
    <w:rsid w:val="00BC54B8"/>
    <w:rsid w:val="00BC6FF4"/>
    <w:rsid w:val="00C0320E"/>
    <w:rsid w:val="00C248F5"/>
    <w:rsid w:val="00C610F5"/>
    <w:rsid w:val="00C9420B"/>
    <w:rsid w:val="00CB33E2"/>
    <w:rsid w:val="00CF02F9"/>
    <w:rsid w:val="00CF4015"/>
    <w:rsid w:val="00CF45D0"/>
    <w:rsid w:val="00D161EC"/>
    <w:rsid w:val="00D17143"/>
    <w:rsid w:val="00D22657"/>
    <w:rsid w:val="00D34E4F"/>
    <w:rsid w:val="00D5296B"/>
    <w:rsid w:val="00D63F27"/>
    <w:rsid w:val="00DB377F"/>
    <w:rsid w:val="00DE555D"/>
    <w:rsid w:val="00E24A4D"/>
    <w:rsid w:val="00E32044"/>
    <w:rsid w:val="00E90EC0"/>
    <w:rsid w:val="00E97841"/>
    <w:rsid w:val="00EA0EFA"/>
    <w:rsid w:val="00EB282F"/>
    <w:rsid w:val="00EB5D59"/>
    <w:rsid w:val="00EC2AD0"/>
    <w:rsid w:val="00F0307D"/>
    <w:rsid w:val="00F06DD1"/>
    <w:rsid w:val="00F10BA6"/>
    <w:rsid w:val="00F910F4"/>
    <w:rsid w:val="00F96A99"/>
    <w:rsid w:val="00FB5DC7"/>
    <w:rsid w:val="00FC542A"/>
    <w:rsid w:val="00FE14FB"/>
    <w:rsid w:val="00FF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42A"/>
    <w:rPr>
      <w:color w:val="0000FF" w:themeColor="hyperlink"/>
      <w:u w:val="single"/>
    </w:rPr>
  </w:style>
  <w:style w:type="paragraph" w:styleId="ListParagraph">
    <w:name w:val="List Paragraph"/>
    <w:basedOn w:val="Normal"/>
    <w:uiPriority w:val="34"/>
    <w:qFormat/>
    <w:rsid w:val="00B15702"/>
    <w:pPr>
      <w:ind w:left="720"/>
      <w:contextualSpacing/>
    </w:pPr>
  </w:style>
  <w:style w:type="paragraph" w:styleId="Header">
    <w:name w:val="header"/>
    <w:basedOn w:val="Normal"/>
    <w:link w:val="HeaderChar"/>
    <w:uiPriority w:val="99"/>
    <w:unhideWhenUsed/>
    <w:rsid w:val="004D1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E36"/>
  </w:style>
  <w:style w:type="paragraph" w:styleId="Footer">
    <w:name w:val="footer"/>
    <w:basedOn w:val="Normal"/>
    <w:link w:val="FooterChar"/>
    <w:uiPriority w:val="99"/>
    <w:unhideWhenUsed/>
    <w:rsid w:val="004D1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E36"/>
  </w:style>
  <w:style w:type="paragraph" w:styleId="NormalWeb">
    <w:name w:val="Normal (Web)"/>
    <w:basedOn w:val="Normal"/>
    <w:uiPriority w:val="99"/>
    <w:unhideWhenUsed/>
    <w:rsid w:val="00401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55D"/>
    <w:rPr>
      <w:color w:val="800080" w:themeColor="followedHyperlink"/>
      <w:u w:val="single"/>
    </w:rPr>
  </w:style>
  <w:style w:type="paragraph" w:styleId="BalloonText">
    <w:name w:val="Balloon Text"/>
    <w:basedOn w:val="Normal"/>
    <w:link w:val="BalloonTextChar"/>
    <w:uiPriority w:val="99"/>
    <w:semiHidden/>
    <w:unhideWhenUsed/>
    <w:rsid w:val="0003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42A"/>
    <w:rPr>
      <w:color w:val="0000FF" w:themeColor="hyperlink"/>
      <w:u w:val="single"/>
    </w:rPr>
  </w:style>
  <w:style w:type="paragraph" w:styleId="ListParagraph">
    <w:name w:val="List Paragraph"/>
    <w:basedOn w:val="Normal"/>
    <w:uiPriority w:val="34"/>
    <w:qFormat/>
    <w:rsid w:val="00B15702"/>
    <w:pPr>
      <w:ind w:left="720"/>
      <w:contextualSpacing/>
    </w:pPr>
  </w:style>
  <w:style w:type="paragraph" w:styleId="Header">
    <w:name w:val="header"/>
    <w:basedOn w:val="Normal"/>
    <w:link w:val="HeaderChar"/>
    <w:uiPriority w:val="99"/>
    <w:unhideWhenUsed/>
    <w:rsid w:val="004D1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E36"/>
  </w:style>
  <w:style w:type="paragraph" w:styleId="Footer">
    <w:name w:val="footer"/>
    <w:basedOn w:val="Normal"/>
    <w:link w:val="FooterChar"/>
    <w:uiPriority w:val="99"/>
    <w:unhideWhenUsed/>
    <w:rsid w:val="004D1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E36"/>
  </w:style>
  <w:style w:type="paragraph" w:styleId="NormalWeb">
    <w:name w:val="Normal (Web)"/>
    <w:basedOn w:val="Normal"/>
    <w:uiPriority w:val="99"/>
    <w:unhideWhenUsed/>
    <w:rsid w:val="00401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55D"/>
    <w:rPr>
      <w:color w:val="800080" w:themeColor="followedHyperlink"/>
      <w:u w:val="single"/>
    </w:rPr>
  </w:style>
  <w:style w:type="paragraph" w:styleId="BalloonText">
    <w:name w:val="Balloon Text"/>
    <w:basedOn w:val="Normal"/>
    <w:link w:val="BalloonTextChar"/>
    <w:uiPriority w:val="99"/>
    <w:semiHidden/>
    <w:unhideWhenUsed/>
    <w:rsid w:val="0003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79682">
      <w:bodyDiv w:val="1"/>
      <w:marLeft w:val="0"/>
      <w:marRight w:val="0"/>
      <w:marTop w:val="0"/>
      <w:marBottom w:val="0"/>
      <w:divBdr>
        <w:top w:val="none" w:sz="0" w:space="0" w:color="auto"/>
        <w:left w:val="none" w:sz="0" w:space="0" w:color="auto"/>
        <w:bottom w:val="none" w:sz="0" w:space="0" w:color="auto"/>
        <w:right w:val="none" w:sz="0" w:space="0" w:color="auto"/>
      </w:divBdr>
      <w:divsChild>
        <w:div w:id="1648126232">
          <w:marLeft w:val="0"/>
          <w:marRight w:val="0"/>
          <w:marTop w:val="0"/>
          <w:marBottom w:val="0"/>
          <w:divBdr>
            <w:top w:val="none" w:sz="0" w:space="0" w:color="auto"/>
            <w:left w:val="none" w:sz="0" w:space="0" w:color="auto"/>
            <w:bottom w:val="none" w:sz="0" w:space="0" w:color="auto"/>
            <w:right w:val="none" w:sz="0" w:space="0" w:color="auto"/>
          </w:divBdr>
          <w:divsChild>
            <w:div w:id="1164979215">
              <w:marLeft w:val="0"/>
              <w:marRight w:val="0"/>
              <w:marTop w:val="0"/>
              <w:marBottom w:val="0"/>
              <w:divBdr>
                <w:top w:val="none" w:sz="0" w:space="0" w:color="auto"/>
                <w:left w:val="none" w:sz="0" w:space="0" w:color="auto"/>
                <w:bottom w:val="none" w:sz="0" w:space="0" w:color="auto"/>
                <w:right w:val="none" w:sz="0" w:space="0" w:color="auto"/>
              </w:divBdr>
              <w:divsChild>
                <w:div w:id="1208030074">
                  <w:marLeft w:val="0"/>
                  <w:marRight w:val="0"/>
                  <w:marTop w:val="0"/>
                  <w:marBottom w:val="0"/>
                  <w:divBdr>
                    <w:top w:val="none" w:sz="0" w:space="0" w:color="auto"/>
                    <w:left w:val="none" w:sz="0" w:space="0" w:color="auto"/>
                    <w:bottom w:val="none" w:sz="0" w:space="0" w:color="auto"/>
                    <w:right w:val="none" w:sz="0" w:space="0" w:color="auto"/>
                  </w:divBdr>
                  <w:divsChild>
                    <w:div w:id="1660689088">
                      <w:marLeft w:val="0"/>
                      <w:marRight w:val="0"/>
                      <w:marTop w:val="0"/>
                      <w:marBottom w:val="0"/>
                      <w:divBdr>
                        <w:top w:val="none" w:sz="0" w:space="0" w:color="auto"/>
                        <w:left w:val="none" w:sz="0" w:space="0" w:color="auto"/>
                        <w:bottom w:val="none" w:sz="0" w:space="0" w:color="auto"/>
                        <w:right w:val="none" w:sz="0" w:space="0" w:color="auto"/>
                      </w:divBdr>
                      <w:divsChild>
                        <w:div w:id="1342318994">
                          <w:marLeft w:val="0"/>
                          <w:marRight w:val="0"/>
                          <w:marTop w:val="0"/>
                          <w:marBottom w:val="0"/>
                          <w:divBdr>
                            <w:top w:val="none" w:sz="0" w:space="0" w:color="auto"/>
                            <w:left w:val="none" w:sz="0" w:space="0" w:color="auto"/>
                            <w:bottom w:val="none" w:sz="0" w:space="0" w:color="auto"/>
                            <w:right w:val="none" w:sz="0" w:space="0" w:color="auto"/>
                          </w:divBdr>
                          <w:divsChild>
                            <w:div w:id="587270810">
                              <w:marLeft w:val="0"/>
                              <w:marRight w:val="0"/>
                              <w:marTop w:val="0"/>
                              <w:marBottom w:val="2"/>
                              <w:divBdr>
                                <w:top w:val="none" w:sz="0" w:space="0" w:color="auto"/>
                                <w:left w:val="none" w:sz="0" w:space="0" w:color="auto"/>
                                <w:bottom w:val="none" w:sz="0" w:space="0" w:color="auto"/>
                                <w:right w:val="none" w:sz="0" w:space="0" w:color="auto"/>
                              </w:divBdr>
                              <w:divsChild>
                                <w:div w:id="561790481">
                                  <w:marLeft w:val="0"/>
                                  <w:marRight w:val="0"/>
                                  <w:marTop w:val="0"/>
                                  <w:marBottom w:val="0"/>
                                  <w:divBdr>
                                    <w:top w:val="none" w:sz="0" w:space="0" w:color="auto"/>
                                    <w:left w:val="none" w:sz="0" w:space="0" w:color="auto"/>
                                    <w:bottom w:val="none" w:sz="0" w:space="0" w:color="auto"/>
                                    <w:right w:val="none" w:sz="0" w:space="0" w:color="auto"/>
                                  </w:divBdr>
                                  <w:divsChild>
                                    <w:div w:id="378431956">
                                      <w:marLeft w:val="0"/>
                                      <w:marRight w:val="0"/>
                                      <w:marTop w:val="0"/>
                                      <w:marBottom w:val="0"/>
                                      <w:divBdr>
                                        <w:top w:val="none" w:sz="0" w:space="0" w:color="auto"/>
                                        <w:left w:val="none" w:sz="0" w:space="0" w:color="auto"/>
                                        <w:bottom w:val="none" w:sz="0" w:space="0" w:color="auto"/>
                                        <w:right w:val="none" w:sz="0" w:space="0" w:color="auto"/>
                                      </w:divBdr>
                                      <w:divsChild>
                                        <w:div w:id="1199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do.ac.uk/projects/health/census-2011-people-with-autism/" TargetMode="External"/><Relationship Id="rId18" Type="http://schemas.openxmlformats.org/officeDocument/2006/relationships/hyperlink" Target="https://www.sldo.ac.uk/projects/health/psychotropic-prescribing/" TargetMode="External"/><Relationship Id="rId26" Type="http://schemas.openxmlformats.org/officeDocument/2006/relationships/hyperlink" Target="https://www.sldo.ac.uk/projects/health/census-2011-people-with-learning-disabilities-autism/" TargetMode="External"/><Relationship Id="rId3" Type="http://schemas.openxmlformats.org/officeDocument/2006/relationships/styles" Target="styles.xml"/><Relationship Id="rId21" Type="http://schemas.openxmlformats.org/officeDocument/2006/relationships/hyperlink" Target="https://www.sldo.ac.uk/projects/secondary-healthcare/hospital-admission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ldo.ac.uk/projects/autism/autism-and-health/" TargetMode="External"/><Relationship Id="rId17" Type="http://schemas.openxmlformats.org/officeDocument/2006/relationships/hyperlink" Target="https://www.sldo.ac.uk/projects/health/oral-health/" TargetMode="External"/><Relationship Id="rId25" Type="http://schemas.openxmlformats.org/officeDocument/2006/relationships/hyperlink" Target="https://www.sldo.ac.uk/projects/mortality/life-expectanc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do.ac.uk/projects/health/oral-health/" TargetMode="External"/><Relationship Id="rId20" Type="http://schemas.openxmlformats.org/officeDocument/2006/relationships/hyperlink" Target="https://www.sldo.ac.uk/projects/children-young-people/pupil-census/" TargetMode="External"/><Relationship Id="rId29" Type="http://schemas.openxmlformats.org/officeDocument/2006/relationships/hyperlink" Target="https://www.sldo.ac.uk/projects/other-health-determinants/living-circumstances-and-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do.ac.uk/projects/health/census-2011-people-with-learning-disabilities/" TargetMode="External"/><Relationship Id="rId24" Type="http://schemas.openxmlformats.org/officeDocument/2006/relationships/hyperlink" Target="https://www.sldo.ac.uk/projects/mortality/life-expectancy/" TargetMode="External"/><Relationship Id="rId32" Type="http://schemas.openxmlformats.org/officeDocument/2006/relationships/hyperlink" Target="https://www.sldo.ac.uk/projects/other-health-determinants/hate-crime/" TargetMode="External"/><Relationship Id="rId5" Type="http://schemas.openxmlformats.org/officeDocument/2006/relationships/settings" Target="settings.xml"/><Relationship Id="rId15" Type="http://schemas.openxmlformats.org/officeDocument/2006/relationships/hyperlink" Target="https://www.sldo.ac.uk/projects/health/physical-health/" TargetMode="External"/><Relationship Id="rId23" Type="http://schemas.openxmlformats.org/officeDocument/2006/relationships/hyperlink" Target="https://www.sldo.ac.uk/projects/mortality/life-expectancy/" TargetMode="External"/><Relationship Id="rId28" Type="http://schemas.openxmlformats.org/officeDocument/2006/relationships/hyperlink" Target="https://www.sldo.ac.uk/projects/secondary-healthcare/inpatient-bed-census/" TargetMode="External"/><Relationship Id="rId10" Type="http://schemas.openxmlformats.org/officeDocument/2006/relationships/hyperlink" Target="https://www.sldo.ac.uk/projects/primary-health-care/long-term-health-conditions-management-and-learning-disabilities/" TargetMode="External"/><Relationship Id="rId19" Type="http://schemas.openxmlformats.org/officeDocument/2006/relationships/hyperlink" Target="https://www.sldo.ac.uk/projects/health/psychotropic-prescribing/" TargetMode="External"/><Relationship Id="rId31" Type="http://schemas.openxmlformats.org/officeDocument/2006/relationships/hyperlink" Target="https://www.sldo.ac.uk/projects/children-young-people/transi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ldo.ac.uk/projects/health/physical-health/" TargetMode="External"/><Relationship Id="rId22" Type="http://schemas.openxmlformats.org/officeDocument/2006/relationships/hyperlink" Target="https://www.sldo.ac.uk/projects/secondary-healthcare/hospital-admissions/" TargetMode="External"/><Relationship Id="rId27" Type="http://schemas.openxmlformats.org/officeDocument/2006/relationships/hyperlink" Target="https://www.sldo.ac.uk/projects/other-health-determinants/spending-on-services/" TargetMode="External"/><Relationship Id="rId30" Type="http://schemas.openxmlformats.org/officeDocument/2006/relationships/hyperlink" Target="https://www.sldo.ac.uk/projects/children-young-people/transi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8A74-C348-4CFB-AE48-A92D9C8D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Auchterlonie</dc:creator>
  <cp:lastModifiedBy>Sandra Auchterlonie</cp:lastModifiedBy>
  <cp:revision>2</cp:revision>
  <cp:lastPrinted>2017-01-12T11:50:00Z</cp:lastPrinted>
  <dcterms:created xsi:type="dcterms:W3CDTF">2017-01-31T12:08:00Z</dcterms:created>
  <dcterms:modified xsi:type="dcterms:W3CDTF">2017-01-31T12:08:00Z</dcterms:modified>
</cp:coreProperties>
</file>